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13.020"/>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Z  00"/>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  00</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地表水环境质量监测网断面设置技术规范</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specifications for cross-section setting of surface water environmental quality monitoring network"/>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specifications for cross-section setting of surface water environmental quality monitoring network</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rFonts w:hint="eastAsia"/>
          <w:sz w:val="24"/>
          <w:szCs w:val="28"/>
        </w:rPr>
        <w:t>（报批稿）</w:t>
      </w:r>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default w:val="（本草案完成时间：2022年8月16日）"/>
            </w:textInput>
          </w:ffData>
        </w:fldChar>
      </w:r>
      <w:bookmarkStart w:id="11" w:name="CMPLSH_DATE"/>
      <w:r>
        <w:rPr>
          <w:sz w:val="21"/>
          <w:szCs w:val="28"/>
        </w:rPr>
        <w:instrText xml:space="preserve"> FORMTEXT </w:instrText>
      </w:r>
      <w:r>
        <w:rPr>
          <w:sz w:val="21"/>
          <w:szCs w:val="28"/>
        </w:rPr>
        <w:fldChar w:fldCharType="separate"/>
      </w:r>
      <w:r>
        <w:rPr>
          <w:rFonts w:hint="eastAsia"/>
          <w:sz w:val="21"/>
          <w:szCs w:val="28"/>
        </w:rPr>
        <w:t>（本草案完成时间：2023年9月30日）</w:t>
      </w:r>
      <w:r>
        <w:rPr>
          <w:sz w:val="21"/>
          <w:szCs w:val="28"/>
        </w:rPr>
        <w:fldChar w:fldCharType="end"/>
      </w:r>
      <w:bookmarkEnd w:id="11"/>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4"/>
        <w:spacing w:after="468"/>
      </w:pPr>
      <w:bookmarkStart w:id="20" w:name="BookMark1"/>
      <w:r>
        <w:rPr>
          <w:rFonts w:hint="eastAsia"/>
          <w:spacing w:val="320"/>
        </w:rPr>
        <w:t>目</w:t>
      </w:r>
      <w:r>
        <w:rPr>
          <w:rFonts w:hint="eastAsia"/>
        </w:rPr>
        <w:t>次</w:t>
      </w:r>
    </w:p>
    <w:p>
      <w:pPr>
        <w:pStyle w:val="20"/>
        <w:tabs>
          <w:tab w:val="right" w:leader="dot" w:pos="9354"/>
          <w:tab w:val="clear" w:pos="9344"/>
        </w:tabs>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_Toc21028 </w:instrText>
      </w:r>
      <w:r>
        <w:fldChar w:fldCharType="separate"/>
      </w:r>
      <w:r>
        <w:rPr>
          <w:rFonts w:hint="eastAsia"/>
        </w:rPr>
        <w:t>前言</w:t>
      </w:r>
      <w:r>
        <w:tab/>
      </w:r>
      <w:r>
        <w:rPr>
          <w:rFonts w:hint="eastAsia"/>
        </w:rPr>
        <w:t>Ⅲ</w:t>
      </w:r>
      <w:r>
        <w:fldChar w:fldCharType="end"/>
      </w:r>
    </w:p>
    <w:p>
      <w:pPr>
        <w:pStyle w:val="20"/>
        <w:tabs>
          <w:tab w:val="right" w:leader="dot" w:pos="9354"/>
          <w:tab w:val="clear" w:pos="9344"/>
        </w:tabs>
      </w:pPr>
      <w:r>
        <w:fldChar w:fldCharType="begin"/>
      </w:r>
      <w:r>
        <w:instrText xml:space="preserve"> HYPERLINK \l _Toc12921 </w:instrText>
      </w:r>
      <w:r>
        <w:fldChar w:fldCharType="separate"/>
      </w:r>
      <w:r>
        <w:rPr>
          <w:rFonts w:ascii="宋体" w:hAnsi="宋体" w:eastAsia="宋体" w:cs="宋体"/>
        </w:rPr>
        <w:t xml:space="preserve">1 </w:t>
      </w:r>
      <w:r>
        <w:rPr>
          <w:rFonts w:hint="eastAsia" w:hAnsi="宋体" w:cs="宋体"/>
        </w:rPr>
        <w:t xml:space="preserve"> </w:t>
      </w:r>
      <w:r>
        <w:rPr>
          <w:rFonts w:hint="eastAsia"/>
        </w:rPr>
        <w:t>范围</w:t>
      </w:r>
      <w:r>
        <w:tab/>
      </w:r>
      <w:r>
        <w:fldChar w:fldCharType="begin"/>
      </w:r>
      <w:r>
        <w:instrText xml:space="preserve"> PAGEREF _Toc12921 \h </w:instrText>
      </w:r>
      <w:r>
        <w:fldChar w:fldCharType="separate"/>
      </w:r>
      <w:r>
        <w:t>1</w:t>
      </w:r>
      <w:r>
        <w:fldChar w:fldCharType="end"/>
      </w:r>
      <w:r>
        <w:fldChar w:fldCharType="end"/>
      </w:r>
    </w:p>
    <w:p>
      <w:pPr>
        <w:pStyle w:val="20"/>
        <w:tabs>
          <w:tab w:val="right" w:leader="dot" w:pos="9354"/>
          <w:tab w:val="clear" w:pos="9344"/>
        </w:tabs>
      </w:pPr>
      <w:r>
        <w:fldChar w:fldCharType="begin"/>
      </w:r>
      <w:r>
        <w:instrText xml:space="preserve"> HYPERLINK \l _Toc28061 </w:instrText>
      </w:r>
      <w:r>
        <w:fldChar w:fldCharType="separate"/>
      </w:r>
      <w:r>
        <w:rPr>
          <w:rFonts w:ascii="宋体" w:hAnsi="宋体" w:eastAsia="宋体" w:cs="宋体"/>
        </w:rPr>
        <w:t xml:space="preserve">2 </w:t>
      </w:r>
      <w:r>
        <w:rPr>
          <w:rFonts w:hint="eastAsia" w:hAnsi="宋体" w:cs="宋体"/>
        </w:rPr>
        <w:t xml:space="preserve"> </w:t>
      </w:r>
      <w:r>
        <w:rPr>
          <w:rFonts w:hint="eastAsia"/>
        </w:rPr>
        <w:t>规范性引用文件</w:t>
      </w:r>
      <w:r>
        <w:tab/>
      </w:r>
      <w:r>
        <w:fldChar w:fldCharType="begin"/>
      </w:r>
      <w:r>
        <w:instrText xml:space="preserve"> PAGEREF _Toc28061 \h </w:instrText>
      </w:r>
      <w:r>
        <w:fldChar w:fldCharType="separate"/>
      </w:r>
      <w:r>
        <w:t>1</w:t>
      </w:r>
      <w:r>
        <w:fldChar w:fldCharType="end"/>
      </w:r>
      <w:r>
        <w:fldChar w:fldCharType="end"/>
      </w:r>
    </w:p>
    <w:p>
      <w:pPr>
        <w:pStyle w:val="20"/>
        <w:tabs>
          <w:tab w:val="right" w:leader="dot" w:pos="9354"/>
          <w:tab w:val="clear" w:pos="9344"/>
        </w:tabs>
      </w:pPr>
      <w:r>
        <w:fldChar w:fldCharType="begin"/>
      </w:r>
      <w:r>
        <w:instrText xml:space="preserve"> HYPERLINK \l _Toc20280 </w:instrText>
      </w:r>
      <w:r>
        <w:fldChar w:fldCharType="separate"/>
      </w:r>
      <w:r>
        <w:rPr>
          <w:rFonts w:ascii="宋体" w:hAnsi="宋体" w:eastAsia="宋体" w:cs="宋体"/>
        </w:rPr>
        <w:t xml:space="preserve">3 </w:t>
      </w:r>
      <w:r>
        <w:rPr>
          <w:rFonts w:hint="eastAsia" w:hAnsi="宋体" w:cs="宋体"/>
        </w:rPr>
        <w:t xml:space="preserve"> </w:t>
      </w:r>
      <w:r>
        <w:rPr>
          <w:rFonts w:hint="eastAsia"/>
        </w:rPr>
        <w:t>术语和定义</w:t>
      </w:r>
      <w:r>
        <w:tab/>
      </w:r>
      <w:r>
        <w:fldChar w:fldCharType="begin"/>
      </w:r>
      <w:r>
        <w:instrText xml:space="preserve"> PAGEREF _Toc20280 \h </w:instrText>
      </w:r>
      <w:r>
        <w:fldChar w:fldCharType="separate"/>
      </w:r>
      <w:r>
        <w:t>1</w:t>
      </w:r>
      <w:r>
        <w:fldChar w:fldCharType="end"/>
      </w:r>
      <w:r>
        <w:fldChar w:fldCharType="end"/>
      </w:r>
    </w:p>
    <w:p>
      <w:pPr>
        <w:pStyle w:val="20"/>
        <w:tabs>
          <w:tab w:val="right" w:leader="dot" w:pos="9354"/>
          <w:tab w:val="clear" w:pos="9344"/>
        </w:tabs>
      </w:pPr>
      <w:r>
        <w:fldChar w:fldCharType="begin"/>
      </w:r>
      <w:r>
        <w:instrText xml:space="preserve"> HYPERLINK \l _Toc15107 </w:instrText>
      </w:r>
      <w:r>
        <w:fldChar w:fldCharType="separate"/>
      </w:r>
      <w:r>
        <w:rPr>
          <w:rFonts w:ascii="宋体" w:hAnsi="宋体" w:eastAsia="宋体" w:cs="宋体"/>
        </w:rPr>
        <w:t xml:space="preserve">4  </w:t>
      </w:r>
      <w:r>
        <w:rPr>
          <w:rFonts w:hint="eastAsia"/>
        </w:rPr>
        <w:t>监测网断面设置原则</w:t>
      </w:r>
      <w:r>
        <w:tab/>
      </w:r>
      <w:r>
        <w:fldChar w:fldCharType="begin"/>
      </w:r>
      <w:r>
        <w:instrText xml:space="preserve"> PAGEREF _Toc15107 \h </w:instrText>
      </w:r>
      <w:r>
        <w:fldChar w:fldCharType="separate"/>
      </w:r>
      <w:r>
        <w:t>2</w:t>
      </w:r>
      <w:r>
        <w:fldChar w:fldCharType="end"/>
      </w:r>
      <w:r>
        <w:fldChar w:fldCharType="end"/>
      </w:r>
    </w:p>
    <w:p>
      <w:pPr>
        <w:pStyle w:val="25"/>
        <w:tabs>
          <w:tab w:val="right" w:leader="dot" w:pos="9354"/>
          <w:tab w:val="clear" w:pos="9344"/>
        </w:tabs>
      </w:pPr>
      <w:r>
        <w:fldChar w:fldCharType="begin"/>
      </w:r>
      <w:r>
        <w:instrText xml:space="preserve"> HYPERLINK \l _Toc10431 </w:instrText>
      </w:r>
      <w:r>
        <w:fldChar w:fldCharType="separate"/>
      </w:r>
      <w:r>
        <w:rPr>
          <w:rFonts w:ascii="宋体" w:hAnsi="宋体" w:eastAsia="宋体" w:cs="宋体"/>
          <w:kern w:val="0"/>
          <w14:scene3d>
            <w14:lightRig w14:rig="threePt" w14:dir="t">
              <w14:rot w14:lat="0" w14:lon="0" w14:rev="0"/>
            </w14:lightRig>
          </w14:scene3d>
        </w:rPr>
        <w:t xml:space="preserve">4.1 </w:t>
      </w:r>
      <w:r>
        <w:rPr>
          <w:rFonts w:hint="eastAsia" w:hAnsi="宋体" w:cs="宋体"/>
          <w:kern w:val="0"/>
          <w14:scene3d>
            <w14:lightRig w14:rig="threePt" w14:dir="t">
              <w14:rot w14:lat="0" w14:lon="0" w14:rev="0"/>
            </w14:lightRig>
          </w14:scene3d>
        </w:rPr>
        <w:t xml:space="preserve"> </w:t>
      </w:r>
      <w:r>
        <w:rPr>
          <w:rFonts w:hint="eastAsia"/>
        </w:rPr>
        <w:t>科学性</w:t>
      </w:r>
      <w:r>
        <w:tab/>
      </w:r>
      <w:r>
        <w:fldChar w:fldCharType="begin"/>
      </w:r>
      <w:r>
        <w:instrText xml:space="preserve"> PAGEREF _Toc10431 \h </w:instrText>
      </w:r>
      <w:r>
        <w:fldChar w:fldCharType="separate"/>
      </w:r>
      <w:r>
        <w:t>2</w:t>
      </w:r>
      <w:r>
        <w:fldChar w:fldCharType="end"/>
      </w:r>
      <w:r>
        <w:fldChar w:fldCharType="end"/>
      </w:r>
    </w:p>
    <w:p>
      <w:pPr>
        <w:pStyle w:val="25"/>
        <w:tabs>
          <w:tab w:val="right" w:leader="dot" w:pos="9354"/>
          <w:tab w:val="clear" w:pos="9344"/>
        </w:tabs>
      </w:pPr>
      <w:r>
        <w:fldChar w:fldCharType="begin"/>
      </w:r>
      <w:r>
        <w:instrText xml:space="preserve"> HYPERLINK \l _Toc25446 </w:instrText>
      </w:r>
      <w:r>
        <w:fldChar w:fldCharType="separate"/>
      </w:r>
      <w:r>
        <w:rPr>
          <w:rFonts w:ascii="宋体" w:hAnsi="宋体" w:eastAsia="宋体" w:cs="宋体"/>
          <w:kern w:val="0"/>
          <w14:scene3d>
            <w14:lightRig w14:rig="threePt" w14:dir="t">
              <w14:rot w14:lat="0" w14:lon="0" w14:rev="0"/>
            </w14:lightRig>
          </w14:scene3d>
        </w:rPr>
        <w:t xml:space="preserve">4.2  </w:t>
      </w:r>
      <w:r>
        <w:rPr>
          <w:rFonts w:hint="eastAsia"/>
        </w:rPr>
        <w:t>代表性</w:t>
      </w:r>
      <w:r>
        <w:tab/>
      </w:r>
      <w:r>
        <w:fldChar w:fldCharType="begin"/>
      </w:r>
      <w:r>
        <w:instrText xml:space="preserve"> PAGEREF _Toc25446 \h </w:instrText>
      </w:r>
      <w:r>
        <w:fldChar w:fldCharType="separate"/>
      </w:r>
      <w:r>
        <w:t>3</w:t>
      </w:r>
      <w:r>
        <w:fldChar w:fldCharType="end"/>
      </w:r>
      <w:r>
        <w:fldChar w:fldCharType="end"/>
      </w:r>
    </w:p>
    <w:p>
      <w:pPr>
        <w:pStyle w:val="25"/>
        <w:tabs>
          <w:tab w:val="right" w:leader="dot" w:pos="9354"/>
          <w:tab w:val="clear" w:pos="9344"/>
        </w:tabs>
      </w:pPr>
      <w:r>
        <w:fldChar w:fldCharType="begin"/>
      </w:r>
      <w:r>
        <w:instrText xml:space="preserve"> HYPERLINK \l _Toc8781 </w:instrText>
      </w:r>
      <w:r>
        <w:fldChar w:fldCharType="separate"/>
      </w:r>
      <w:r>
        <w:rPr>
          <w:rFonts w:ascii="宋体" w:hAnsi="宋体" w:eastAsia="宋体" w:cs="宋体"/>
          <w:kern w:val="0"/>
          <w14:scene3d>
            <w14:lightRig w14:rig="threePt" w14:dir="t">
              <w14:rot w14:lat="0" w14:lon="0" w14:rev="0"/>
            </w14:lightRig>
          </w14:scene3d>
        </w:rPr>
        <w:t xml:space="preserve">4.3  </w:t>
      </w:r>
      <w:r>
        <w:rPr>
          <w:rFonts w:hint="eastAsia"/>
        </w:rPr>
        <w:t>全面性</w:t>
      </w:r>
      <w:r>
        <w:tab/>
      </w:r>
      <w:r>
        <w:fldChar w:fldCharType="begin"/>
      </w:r>
      <w:r>
        <w:instrText xml:space="preserve"> PAGEREF _Toc8781 \h </w:instrText>
      </w:r>
      <w:r>
        <w:fldChar w:fldCharType="separate"/>
      </w:r>
      <w:r>
        <w:t>3</w:t>
      </w:r>
      <w:r>
        <w:fldChar w:fldCharType="end"/>
      </w:r>
      <w:r>
        <w:fldChar w:fldCharType="end"/>
      </w:r>
    </w:p>
    <w:p>
      <w:pPr>
        <w:pStyle w:val="25"/>
        <w:tabs>
          <w:tab w:val="right" w:leader="dot" w:pos="9354"/>
          <w:tab w:val="clear" w:pos="9344"/>
        </w:tabs>
      </w:pPr>
      <w:r>
        <w:fldChar w:fldCharType="begin"/>
      </w:r>
      <w:r>
        <w:instrText xml:space="preserve"> HYPERLINK \l _Toc27060 </w:instrText>
      </w:r>
      <w:r>
        <w:fldChar w:fldCharType="separate"/>
      </w:r>
      <w:r>
        <w:rPr>
          <w:rFonts w:ascii="宋体" w:hAnsi="宋体" w:eastAsia="宋体" w:cs="宋体"/>
          <w:kern w:val="0"/>
          <w14:scene3d>
            <w14:lightRig w14:rig="threePt" w14:dir="t">
              <w14:rot w14:lat="0" w14:lon="0" w14:rev="0"/>
            </w14:lightRig>
          </w14:scene3d>
        </w:rPr>
        <w:t xml:space="preserve">4.4  </w:t>
      </w:r>
      <w:r>
        <w:rPr>
          <w:rFonts w:hint="eastAsia"/>
        </w:rPr>
        <w:t>延续性</w:t>
      </w:r>
      <w:r>
        <w:tab/>
      </w:r>
      <w:r>
        <w:fldChar w:fldCharType="begin"/>
      </w:r>
      <w:r>
        <w:instrText xml:space="preserve"> PAGEREF _Toc27060 \h </w:instrText>
      </w:r>
      <w:r>
        <w:fldChar w:fldCharType="separate"/>
      </w:r>
      <w:r>
        <w:t>3</w:t>
      </w:r>
      <w:r>
        <w:fldChar w:fldCharType="end"/>
      </w:r>
      <w:r>
        <w:fldChar w:fldCharType="end"/>
      </w:r>
    </w:p>
    <w:p>
      <w:pPr>
        <w:pStyle w:val="25"/>
        <w:tabs>
          <w:tab w:val="right" w:leader="dot" w:pos="9354"/>
          <w:tab w:val="clear" w:pos="9344"/>
        </w:tabs>
      </w:pPr>
      <w:r>
        <w:fldChar w:fldCharType="begin"/>
      </w:r>
      <w:r>
        <w:instrText xml:space="preserve"> HYPERLINK \l _Toc21790 </w:instrText>
      </w:r>
      <w:r>
        <w:fldChar w:fldCharType="separate"/>
      </w:r>
      <w:r>
        <w:rPr>
          <w:rFonts w:ascii="宋体" w:hAnsi="宋体" w:eastAsia="宋体" w:cs="宋体"/>
          <w:kern w:val="0"/>
          <w14:scene3d>
            <w14:lightRig w14:rig="threePt" w14:dir="t">
              <w14:rot w14:lat="0" w14:lon="0" w14:rev="0"/>
            </w14:lightRig>
          </w14:scene3d>
        </w:rPr>
        <w:t xml:space="preserve">4.5  </w:t>
      </w:r>
      <w:r>
        <w:rPr>
          <w:rFonts w:hint="eastAsia"/>
        </w:rPr>
        <w:t>可操作性</w:t>
      </w:r>
      <w:r>
        <w:tab/>
      </w:r>
      <w:r>
        <w:fldChar w:fldCharType="begin"/>
      </w:r>
      <w:r>
        <w:instrText xml:space="preserve"> PAGEREF _Toc21790 \h </w:instrText>
      </w:r>
      <w:r>
        <w:fldChar w:fldCharType="separate"/>
      </w:r>
      <w:r>
        <w:t>3</w:t>
      </w:r>
      <w:r>
        <w:fldChar w:fldCharType="end"/>
      </w:r>
      <w:r>
        <w:fldChar w:fldCharType="end"/>
      </w:r>
    </w:p>
    <w:p>
      <w:pPr>
        <w:pStyle w:val="20"/>
        <w:tabs>
          <w:tab w:val="right" w:leader="dot" w:pos="9354"/>
          <w:tab w:val="clear" w:pos="9344"/>
        </w:tabs>
      </w:pPr>
      <w:r>
        <w:fldChar w:fldCharType="begin"/>
      </w:r>
      <w:r>
        <w:instrText xml:space="preserve"> HYPERLINK \l _Toc9266 </w:instrText>
      </w:r>
      <w:r>
        <w:fldChar w:fldCharType="separate"/>
      </w:r>
      <w:r>
        <w:rPr>
          <w:rFonts w:ascii="宋体" w:hAnsi="宋体" w:eastAsia="宋体" w:cs="宋体"/>
        </w:rPr>
        <w:t xml:space="preserve">5 </w:t>
      </w:r>
      <w:r>
        <w:rPr>
          <w:rFonts w:hint="eastAsia" w:ascii="黑体" w:eastAsia="黑体"/>
        </w:rPr>
        <w:t xml:space="preserve"> </w:t>
      </w:r>
      <w:r>
        <w:rPr>
          <w:rFonts w:hint="eastAsia"/>
        </w:rPr>
        <w:t>监测网断面设置范围</w:t>
      </w:r>
      <w:r>
        <w:tab/>
      </w:r>
      <w:r>
        <w:fldChar w:fldCharType="begin"/>
      </w:r>
      <w:r>
        <w:instrText xml:space="preserve"> PAGEREF _Toc9266 \h </w:instrText>
      </w:r>
      <w:r>
        <w:fldChar w:fldCharType="separate"/>
      </w:r>
      <w:r>
        <w:t>3</w:t>
      </w:r>
      <w:r>
        <w:fldChar w:fldCharType="end"/>
      </w:r>
      <w:r>
        <w:fldChar w:fldCharType="end"/>
      </w:r>
    </w:p>
    <w:p>
      <w:pPr>
        <w:pStyle w:val="25"/>
        <w:tabs>
          <w:tab w:val="right" w:leader="dot" w:pos="9354"/>
          <w:tab w:val="clear" w:pos="9344"/>
        </w:tabs>
      </w:pPr>
      <w:r>
        <w:fldChar w:fldCharType="begin"/>
      </w:r>
      <w:r>
        <w:instrText xml:space="preserve"> HYPERLINK \l _Toc16500 </w:instrText>
      </w:r>
      <w:r>
        <w:fldChar w:fldCharType="separate"/>
      </w:r>
      <w:r>
        <w:rPr>
          <w:rFonts w:ascii="宋体" w:hAnsi="宋体" w:eastAsia="宋体" w:cs="宋体"/>
          <w:kern w:val="0"/>
          <w14:scene3d>
            <w14:lightRig w14:rig="threePt" w14:dir="t">
              <w14:rot w14:lat="0" w14:lon="0" w14:rev="0"/>
            </w14:lightRig>
          </w14:scene3d>
        </w:rPr>
        <w:t xml:space="preserve">5.1 </w:t>
      </w:r>
      <w:r>
        <w:rPr>
          <w:rFonts w:hint="eastAsia" w:ascii="黑体" w:hAnsi="Times New Roman" w:eastAsia="黑体"/>
          <w:kern w:val="0"/>
          <w14:scene3d>
            <w14:lightRig w14:rig="threePt" w14:dir="t">
              <w14:rot w14:lat="0" w14:lon="0" w14:rev="0"/>
            </w14:lightRig>
          </w14:scene3d>
        </w:rPr>
        <w:t xml:space="preserve"> </w:t>
      </w:r>
      <w:r>
        <w:rPr>
          <w:rFonts w:hint="eastAsia"/>
        </w:rPr>
        <w:t>河流</w:t>
      </w:r>
      <w:r>
        <w:tab/>
      </w:r>
      <w:r>
        <w:fldChar w:fldCharType="begin"/>
      </w:r>
      <w:r>
        <w:instrText xml:space="preserve"> PAGEREF _Toc16500 \h </w:instrText>
      </w:r>
      <w:r>
        <w:fldChar w:fldCharType="separate"/>
      </w:r>
      <w:r>
        <w:t>3</w:t>
      </w:r>
      <w:r>
        <w:fldChar w:fldCharType="end"/>
      </w:r>
      <w:r>
        <w:fldChar w:fldCharType="end"/>
      </w:r>
    </w:p>
    <w:p>
      <w:pPr>
        <w:pStyle w:val="25"/>
        <w:tabs>
          <w:tab w:val="right" w:leader="dot" w:pos="9354"/>
          <w:tab w:val="clear" w:pos="9344"/>
        </w:tabs>
      </w:pPr>
      <w:r>
        <w:fldChar w:fldCharType="begin"/>
      </w:r>
      <w:r>
        <w:instrText xml:space="preserve"> HYPERLINK \l _Toc22243 </w:instrText>
      </w:r>
      <w:r>
        <w:fldChar w:fldCharType="separate"/>
      </w:r>
      <w:r>
        <w:rPr>
          <w:rFonts w:ascii="宋体" w:hAnsi="宋体" w:eastAsia="宋体" w:cs="宋体"/>
          <w:kern w:val="0"/>
          <w14:scene3d>
            <w14:lightRig w14:rig="threePt" w14:dir="t">
              <w14:rot w14:lat="0" w14:lon="0" w14:rev="0"/>
            </w14:lightRig>
          </w14:scene3d>
        </w:rPr>
        <w:t xml:space="preserve">5.2  </w:t>
      </w:r>
      <w:r>
        <w:rPr>
          <w:rFonts w:hint="eastAsia"/>
        </w:rPr>
        <w:t>湖泊和水库</w:t>
      </w:r>
      <w:r>
        <w:tab/>
      </w:r>
      <w:r>
        <w:fldChar w:fldCharType="begin"/>
      </w:r>
      <w:r>
        <w:instrText xml:space="preserve"> PAGEREF _Toc22243 \h </w:instrText>
      </w:r>
      <w:r>
        <w:fldChar w:fldCharType="separate"/>
      </w:r>
      <w:r>
        <w:t>4</w:t>
      </w:r>
      <w:r>
        <w:fldChar w:fldCharType="end"/>
      </w:r>
      <w:r>
        <w:fldChar w:fldCharType="end"/>
      </w:r>
    </w:p>
    <w:p>
      <w:pPr>
        <w:pStyle w:val="20"/>
        <w:tabs>
          <w:tab w:val="right" w:leader="dot" w:pos="9354"/>
          <w:tab w:val="clear" w:pos="9344"/>
        </w:tabs>
      </w:pPr>
      <w:r>
        <w:fldChar w:fldCharType="begin"/>
      </w:r>
      <w:r>
        <w:instrText xml:space="preserve"> HYPERLINK \l _Toc31460 </w:instrText>
      </w:r>
      <w:r>
        <w:fldChar w:fldCharType="separate"/>
      </w:r>
      <w:r>
        <w:rPr>
          <w:rFonts w:ascii="宋体" w:hAnsi="宋体" w:eastAsia="宋体" w:cs="宋体"/>
        </w:rPr>
        <w:t xml:space="preserve">6  </w:t>
      </w:r>
      <w:r>
        <w:rPr>
          <w:rFonts w:hint="eastAsia"/>
        </w:rPr>
        <w:t>监测网断面设置方法</w:t>
      </w:r>
      <w:r>
        <w:tab/>
      </w:r>
      <w:r>
        <w:fldChar w:fldCharType="begin"/>
      </w:r>
      <w:r>
        <w:instrText xml:space="preserve"> PAGEREF _Toc31460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_Toc7715 </w:instrText>
      </w:r>
      <w:r>
        <w:fldChar w:fldCharType="separate"/>
      </w:r>
      <w:r>
        <w:rPr>
          <w:rFonts w:ascii="宋体" w:hAnsi="宋体" w:eastAsia="宋体" w:cs="宋体"/>
          <w:kern w:val="0"/>
          <w14:scene3d>
            <w14:lightRig w14:rig="threePt" w14:dir="t">
              <w14:rot w14:lat="0" w14:lon="0" w14:rev="0"/>
            </w14:lightRig>
          </w14:scene3d>
        </w:rPr>
        <w:t xml:space="preserve">6.1  </w:t>
      </w:r>
      <w:r>
        <w:rPr>
          <w:rFonts w:hint="eastAsia"/>
        </w:rPr>
        <w:t>通用要求</w:t>
      </w:r>
      <w:r>
        <w:tab/>
      </w:r>
      <w:r>
        <w:fldChar w:fldCharType="begin"/>
      </w:r>
      <w:r>
        <w:instrText xml:space="preserve"> PAGEREF _Toc7715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_Toc30482 </w:instrText>
      </w:r>
      <w:r>
        <w:fldChar w:fldCharType="separate"/>
      </w:r>
      <w:r>
        <w:rPr>
          <w:rFonts w:ascii="宋体" w:hAnsi="宋体" w:eastAsia="宋体" w:cs="宋体"/>
          <w:kern w:val="0"/>
          <w14:scene3d>
            <w14:lightRig w14:rig="threePt" w14:dir="t">
              <w14:rot w14:lat="0" w14:lon="0" w14:rev="0"/>
            </w14:lightRig>
          </w14:scene3d>
        </w:rPr>
        <w:t xml:space="preserve">6.2  </w:t>
      </w:r>
      <w:r>
        <w:rPr>
          <w:rFonts w:hint="eastAsia"/>
        </w:rPr>
        <w:t>河流断面</w:t>
      </w:r>
      <w:r>
        <w:tab/>
      </w:r>
      <w:r>
        <w:fldChar w:fldCharType="begin"/>
      </w:r>
      <w:r>
        <w:instrText xml:space="preserve"> PAGEREF _Toc30482 \h </w:instrText>
      </w:r>
      <w:r>
        <w:fldChar w:fldCharType="separate"/>
      </w:r>
      <w:r>
        <w:t>4</w:t>
      </w:r>
      <w:r>
        <w:fldChar w:fldCharType="end"/>
      </w:r>
      <w:r>
        <w:fldChar w:fldCharType="end"/>
      </w:r>
    </w:p>
    <w:p>
      <w:pPr>
        <w:pStyle w:val="25"/>
        <w:tabs>
          <w:tab w:val="right" w:leader="dot" w:pos="9354"/>
          <w:tab w:val="clear" w:pos="9344"/>
        </w:tabs>
      </w:pPr>
      <w:r>
        <w:fldChar w:fldCharType="begin"/>
      </w:r>
      <w:r>
        <w:instrText xml:space="preserve"> HYPERLINK \l _Toc4849 </w:instrText>
      </w:r>
      <w:r>
        <w:fldChar w:fldCharType="separate"/>
      </w:r>
      <w:r>
        <w:rPr>
          <w:rFonts w:ascii="宋体" w:hAnsi="宋体" w:eastAsia="宋体" w:cs="宋体"/>
          <w:kern w:val="0"/>
          <w14:scene3d>
            <w14:lightRig w14:rig="threePt" w14:dir="t">
              <w14:rot w14:lat="0" w14:lon="0" w14:rev="0"/>
            </w14:lightRig>
          </w14:scene3d>
        </w:rPr>
        <w:t xml:space="preserve">6.3  </w:t>
      </w:r>
      <w:r>
        <w:rPr>
          <w:rFonts w:hint="eastAsia"/>
        </w:rPr>
        <w:t>湖库点位</w:t>
      </w:r>
      <w:r>
        <w:tab/>
      </w:r>
      <w:r>
        <w:fldChar w:fldCharType="begin"/>
      </w:r>
      <w:r>
        <w:instrText xml:space="preserve"> PAGEREF _Toc4849 \h </w:instrText>
      </w:r>
      <w:r>
        <w:fldChar w:fldCharType="separate"/>
      </w:r>
      <w:r>
        <w:t>5</w:t>
      </w:r>
      <w:r>
        <w:fldChar w:fldCharType="end"/>
      </w:r>
      <w:r>
        <w:fldChar w:fldCharType="end"/>
      </w:r>
    </w:p>
    <w:p>
      <w:pPr>
        <w:pStyle w:val="20"/>
        <w:tabs>
          <w:tab w:val="right" w:leader="dot" w:pos="9354"/>
          <w:tab w:val="clear" w:pos="9344"/>
        </w:tabs>
      </w:pPr>
      <w:r>
        <w:fldChar w:fldCharType="begin"/>
      </w:r>
      <w:r>
        <w:instrText xml:space="preserve"> HYPERLINK \l _Toc16190 </w:instrText>
      </w:r>
      <w:r>
        <w:fldChar w:fldCharType="separate"/>
      </w:r>
      <w:r>
        <w:rPr>
          <w:rFonts w:ascii="宋体" w:hAnsi="宋体" w:eastAsia="宋体" w:cs="宋体"/>
        </w:rPr>
        <w:t xml:space="preserve">7  </w:t>
      </w:r>
      <w:r>
        <w:rPr>
          <w:rFonts w:hint="eastAsia"/>
        </w:rPr>
        <w:t>监测网断面设置程序与要求</w:t>
      </w:r>
      <w:r>
        <w:tab/>
      </w:r>
      <w:r>
        <w:fldChar w:fldCharType="begin"/>
      </w:r>
      <w:r>
        <w:instrText xml:space="preserve"> PAGEREF _Toc16190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_Toc7878 </w:instrText>
      </w:r>
      <w:r>
        <w:fldChar w:fldCharType="separate"/>
      </w:r>
      <w:r>
        <w:rPr>
          <w:rFonts w:ascii="宋体" w:hAnsi="宋体" w:eastAsia="宋体" w:cs="宋体"/>
          <w:kern w:val="0"/>
          <w14:scene3d>
            <w14:lightRig w14:rig="threePt" w14:dir="t">
              <w14:rot w14:lat="0" w14:lon="0" w14:rev="0"/>
            </w14:lightRig>
          </w14:scene3d>
        </w:rPr>
        <w:t xml:space="preserve">7.1  </w:t>
      </w:r>
      <w:r>
        <w:rPr>
          <w:rFonts w:hint="eastAsia"/>
        </w:rPr>
        <w:t>设置程序</w:t>
      </w:r>
      <w:r>
        <w:tab/>
      </w:r>
      <w:r>
        <w:fldChar w:fldCharType="begin"/>
      </w:r>
      <w:r>
        <w:instrText xml:space="preserve"> PAGEREF _Toc7878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_Toc26196 </w:instrText>
      </w:r>
      <w:r>
        <w:fldChar w:fldCharType="separate"/>
      </w:r>
      <w:r>
        <w:rPr>
          <w:rFonts w:ascii="宋体" w:hAnsi="宋体" w:eastAsia="宋体" w:cs="宋体"/>
          <w:kern w:val="0"/>
          <w14:scene3d>
            <w14:lightRig w14:rig="threePt" w14:dir="t">
              <w14:rot w14:lat="0" w14:lon="0" w14:rev="0"/>
            </w14:lightRig>
          </w14:scene3d>
        </w:rPr>
        <w:t xml:space="preserve">7.2  </w:t>
      </w:r>
      <w:r>
        <w:rPr>
          <w:rFonts w:hint="eastAsia"/>
        </w:rPr>
        <w:t>技术要求</w:t>
      </w:r>
      <w:r>
        <w:tab/>
      </w:r>
      <w:r>
        <w:fldChar w:fldCharType="begin"/>
      </w:r>
      <w:r>
        <w:instrText xml:space="preserve"> PAGEREF _Toc26196 \h </w:instrText>
      </w:r>
      <w:r>
        <w:fldChar w:fldCharType="separate"/>
      </w:r>
      <w:r>
        <w:t>6</w:t>
      </w:r>
      <w:r>
        <w:fldChar w:fldCharType="end"/>
      </w:r>
      <w:r>
        <w:fldChar w:fldCharType="end"/>
      </w:r>
    </w:p>
    <w:p>
      <w:pPr>
        <w:pStyle w:val="16"/>
        <w:tabs>
          <w:tab w:val="right" w:leader="dot" w:pos="9354"/>
        </w:tabs>
      </w:pPr>
      <w:r>
        <w:fldChar w:fldCharType="begin"/>
      </w:r>
      <w:r>
        <w:instrText xml:space="preserve"> HYPERLINK \l _Toc25322 </w:instrText>
      </w:r>
      <w:r>
        <w:fldChar w:fldCharType="separate"/>
      </w:r>
      <w:r>
        <w:rPr>
          <w:rFonts w:ascii="宋体" w:hAnsi="宋体" w:eastAsia="宋体" w:cs="宋体"/>
        </w:rPr>
        <w:t xml:space="preserve">7.2.1  </w:t>
      </w:r>
      <w:r>
        <w:rPr>
          <w:rFonts w:hint="eastAsia"/>
        </w:rPr>
        <w:t>基础资料收集与分析</w:t>
      </w:r>
      <w:r>
        <w:tab/>
      </w:r>
      <w:r>
        <w:fldChar w:fldCharType="begin"/>
      </w:r>
      <w:r>
        <w:instrText xml:space="preserve"> PAGEREF _Toc25322 \h </w:instrText>
      </w:r>
      <w:r>
        <w:fldChar w:fldCharType="separate"/>
      </w:r>
      <w:r>
        <w:t>6</w:t>
      </w:r>
      <w:r>
        <w:fldChar w:fldCharType="end"/>
      </w:r>
      <w:r>
        <w:fldChar w:fldCharType="end"/>
      </w:r>
    </w:p>
    <w:p>
      <w:pPr>
        <w:pStyle w:val="16"/>
        <w:tabs>
          <w:tab w:val="right" w:leader="dot" w:pos="9354"/>
        </w:tabs>
      </w:pPr>
      <w:r>
        <w:fldChar w:fldCharType="begin"/>
      </w:r>
      <w:r>
        <w:instrText xml:space="preserve"> HYPERLINK \l _Toc8793 </w:instrText>
      </w:r>
      <w:r>
        <w:fldChar w:fldCharType="separate"/>
      </w:r>
      <w:r>
        <w:rPr>
          <w:rFonts w:ascii="宋体" w:hAnsi="宋体" w:eastAsia="宋体" w:cs="宋体"/>
        </w:rPr>
        <w:t xml:space="preserve">7.2.2  </w:t>
      </w:r>
      <w:r>
        <w:rPr>
          <w:rFonts w:hint="eastAsia"/>
        </w:rPr>
        <w:t>断面初步设置</w:t>
      </w:r>
      <w:r>
        <w:tab/>
      </w:r>
      <w:r>
        <w:fldChar w:fldCharType="begin"/>
      </w:r>
      <w:r>
        <w:instrText xml:space="preserve"> PAGEREF _Toc8793 \h </w:instrText>
      </w:r>
      <w:r>
        <w:fldChar w:fldCharType="separate"/>
      </w:r>
      <w:r>
        <w:t>7</w:t>
      </w:r>
      <w:r>
        <w:fldChar w:fldCharType="end"/>
      </w:r>
      <w:r>
        <w:fldChar w:fldCharType="end"/>
      </w:r>
    </w:p>
    <w:p>
      <w:pPr>
        <w:pStyle w:val="16"/>
        <w:tabs>
          <w:tab w:val="right" w:leader="dot" w:pos="9354"/>
        </w:tabs>
      </w:pPr>
      <w:r>
        <w:fldChar w:fldCharType="begin"/>
      </w:r>
      <w:r>
        <w:instrText xml:space="preserve"> HYPERLINK \l _Toc30627 </w:instrText>
      </w:r>
      <w:r>
        <w:fldChar w:fldCharType="separate"/>
      </w:r>
      <w:r>
        <w:rPr>
          <w:rFonts w:ascii="宋体" w:hAnsi="宋体" w:eastAsia="宋体" w:cs="宋体"/>
        </w:rPr>
        <w:t xml:space="preserve">7.2.3  </w:t>
      </w:r>
      <w:r>
        <w:rPr>
          <w:rFonts w:hint="eastAsia"/>
        </w:rPr>
        <w:t>现场勘查与论证</w:t>
      </w:r>
      <w:r>
        <w:tab/>
      </w:r>
      <w:r>
        <w:fldChar w:fldCharType="begin"/>
      </w:r>
      <w:r>
        <w:instrText xml:space="preserve"> PAGEREF _Toc30627 \h </w:instrText>
      </w:r>
      <w:r>
        <w:fldChar w:fldCharType="separate"/>
      </w:r>
      <w:r>
        <w:t>7</w:t>
      </w:r>
      <w:r>
        <w:fldChar w:fldCharType="end"/>
      </w:r>
      <w:r>
        <w:fldChar w:fldCharType="end"/>
      </w:r>
    </w:p>
    <w:p>
      <w:pPr>
        <w:pStyle w:val="16"/>
        <w:tabs>
          <w:tab w:val="right" w:leader="dot" w:pos="9354"/>
        </w:tabs>
      </w:pPr>
      <w:r>
        <w:fldChar w:fldCharType="begin"/>
      </w:r>
      <w:r>
        <w:instrText xml:space="preserve"> HYPERLINK \l _Toc25456 </w:instrText>
      </w:r>
      <w:r>
        <w:fldChar w:fldCharType="separate"/>
      </w:r>
      <w:r>
        <w:rPr>
          <w:rFonts w:ascii="宋体" w:hAnsi="宋体" w:eastAsia="宋体" w:cs="宋体"/>
        </w:rPr>
        <w:t xml:space="preserve">7.2.4  </w:t>
      </w:r>
      <w:r>
        <w:rPr>
          <w:rFonts w:hint="eastAsia"/>
        </w:rPr>
        <w:t>完善断面信息清单</w:t>
      </w:r>
      <w:r>
        <w:tab/>
      </w:r>
      <w:r>
        <w:fldChar w:fldCharType="begin"/>
      </w:r>
      <w:r>
        <w:instrText xml:space="preserve"> PAGEREF _Toc25456 \h </w:instrText>
      </w:r>
      <w:r>
        <w:fldChar w:fldCharType="separate"/>
      </w:r>
      <w:r>
        <w:t>7</w:t>
      </w:r>
      <w:r>
        <w:fldChar w:fldCharType="end"/>
      </w:r>
      <w:r>
        <w:fldChar w:fldCharType="end"/>
      </w:r>
    </w:p>
    <w:p>
      <w:pPr>
        <w:pStyle w:val="16"/>
        <w:tabs>
          <w:tab w:val="right" w:leader="dot" w:pos="9354"/>
        </w:tabs>
      </w:pPr>
      <w:r>
        <w:fldChar w:fldCharType="begin"/>
      </w:r>
      <w:r>
        <w:instrText xml:space="preserve"> HYPERLINK \l _Toc10680 </w:instrText>
      </w:r>
      <w:r>
        <w:fldChar w:fldCharType="separate"/>
      </w:r>
      <w:r>
        <w:rPr>
          <w:rFonts w:ascii="宋体" w:hAnsi="宋体" w:eastAsia="宋体" w:cs="宋体"/>
        </w:rPr>
        <w:t xml:space="preserve">7.2.5  </w:t>
      </w:r>
      <w:r>
        <w:rPr>
          <w:rFonts w:hint="eastAsia" w:hAnsi="宋体" w:cs="宋体"/>
        </w:rPr>
        <w:t>建立</w:t>
      </w:r>
      <w:r>
        <w:rPr>
          <w:rFonts w:hint="eastAsia"/>
        </w:rPr>
        <w:t>断面信息库</w:t>
      </w:r>
      <w:r>
        <w:tab/>
      </w:r>
      <w:r>
        <w:fldChar w:fldCharType="begin"/>
      </w:r>
      <w:r>
        <w:instrText xml:space="preserve"> PAGEREF _Toc10680 \h </w:instrText>
      </w:r>
      <w:r>
        <w:fldChar w:fldCharType="separate"/>
      </w:r>
      <w:r>
        <w:t>8</w:t>
      </w:r>
      <w:r>
        <w:fldChar w:fldCharType="end"/>
      </w:r>
      <w:r>
        <w:fldChar w:fldCharType="end"/>
      </w:r>
    </w:p>
    <w:p>
      <w:pPr>
        <w:pStyle w:val="20"/>
      </w:pPr>
      <w:r>
        <w:rPr>
          <w:rFonts w:hint="eastAsia"/>
        </w:rPr>
        <w:t>附录A（资料性）  监测网断面信息清单示例</w:t>
      </w:r>
      <w:r>
        <w:tab/>
      </w:r>
      <w:r>
        <w:rPr>
          <w:rFonts w:hint="eastAsia"/>
        </w:rPr>
        <w:t>9</w:t>
      </w:r>
    </w:p>
    <w:p>
      <w:pPr>
        <w:pStyle w:val="20"/>
        <w:tabs>
          <w:tab w:val="right" w:leader="dot" w:pos="9354"/>
          <w:tab w:val="clear" w:pos="9344"/>
        </w:tabs>
      </w:pPr>
      <w:r>
        <w:fldChar w:fldCharType="begin"/>
      </w:r>
      <w:r>
        <w:instrText xml:space="preserve"> HYPERLINK \l _Toc5064 </w:instrText>
      </w:r>
      <w:r>
        <w:fldChar w:fldCharType="separate"/>
      </w:r>
      <w:r>
        <w:rPr>
          <w:rFonts w:hint="eastAsia"/>
        </w:rPr>
        <w:t>参考文献</w:t>
      </w:r>
      <w:r>
        <w:tab/>
      </w:r>
      <w:r>
        <w:fldChar w:fldCharType="begin"/>
      </w:r>
      <w:r>
        <w:instrText xml:space="preserve"> PAGEREF _Toc5064 \h </w:instrText>
      </w:r>
      <w:r>
        <w:fldChar w:fldCharType="separate"/>
      </w:r>
      <w:r>
        <w:t>10</w:t>
      </w:r>
      <w:r>
        <w:fldChar w:fldCharType="end"/>
      </w:r>
      <w:r>
        <w:fldChar w:fldCharType="end"/>
      </w:r>
    </w:p>
    <w:p>
      <w:pPr>
        <w:pStyle w:val="94"/>
        <w:spacing w:after="468"/>
        <w:sectPr>
          <w:headerReference r:id="rId9" w:type="default"/>
          <w:footerReference r:id="rId10" w:type="default"/>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0"/>
    <w:p>
      <w:pPr>
        <w:pStyle w:val="92"/>
        <w:numPr>
          <w:ilvl w:val="0"/>
          <w:numId w:val="0"/>
        </w:numPr>
        <w:spacing w:after="468"/>
      </w:pPr>
      <w:bookmarkStart w:id="21" w:name="BookMark2"/>
      <w:r>
        <w:br w:type="page"/>
      </w:r>
    </w:p>
    <w:p>
      <w:pPr>
        <w:pStyle w:val="92"/>
        <w:numPr>
          <w:ilvl w:val="0"/>
          <w:numId w:val="0"/>
        </w:numPr>
        <w:spacing w:after="468"/>
      </w:pPr>
      <w:bookmarkStart w:id="22" w:name="_Toc21028"/>
      <w:bookmarkStart w:id="23" w:name="_Toc101390716"/>
      <w:r>
        <w:rPr>
          <w:spacing w:val="320"/>
        </w:rPr>
        <w:t>前</w:t>
      </w:r>
      <w:r>
        <w:t>言</w:t>
      </w:r>
      <w:bookmarkEnd w:id="22"/>
      <w:bookmarkEnd w:id="23"/>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本文件由江苏省生态环境厅提出并归口。</w:t>
      </w:r>
    </w:p>
    <w:p>
      <w:pPr>
        <w:pStyle w:val="59"/>
        <w:ind w:firstLine="420"/>
      </w:pPr>
      <w:r>
        <w:rPr>
          <w:rFonts w:hint="eastAsia"/>
        </w:rPr>
        <w:t>本文件起草单位：江苏省环境监测中心。</w:t>
      </w:r>
    </w:p>
    <w:p>
      <w:pPr>
        <w:pStyle w:val="59"/>
        <w:ind w:firstLine="420"/>
      </w:pPr>
      <w:r>
        <w:rPr>
          <w:rFonts w:hint="eastAsia"/>
        </w:rPr>
        <w:t>本文件主要起草人：张然、董圆媛、夏文文、王姗姗、王晨波、吕学研、张皓、崔嘉宇、尤佳艺、孙康。</w:t>
      </w:r>
    </w:p>
    <w:p>
      <w:pPr>
        <w:pStyle w:val="59"/>
        <w:ind w:firstLine="42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cols w:space="425" w:num="1"/>
          <w:formProt w:val="0"/>
          <w:docGrid w:type="lines" w:linePitch="312" w:charSpace="0"/>
        </w:sectPr>
      </w:pPr>
    </w:p>
    <w:p>
      <w:pPr>
        <w:pStyle w:val="59"/>
        <w:ind w:firstLine="420"/>
      </w:pPr>
    </w:p>
    <w:p>
      <w:pPr>
        <w:pStyle w:val="59"/>
        <w:ind w:firstLine="420"/>
        <w:sectPr>
          <w:footerReference r:id="rId15" w:type="even"/>
          <w:pgSz w:w="11906" w:h="16838"/>
          <w:pgMar w:top="2410" w:right="1134" w:bottom="1134" w:left="1134" w:header="1418" w:footer="1134" w:gutter="284"/>
          <w:pgNumType w:fmt="upperRoman"/>
          <w:cols w:space="425" w:num="1"/>
          <w:formProt w:val="0"/>
          <w:docGrid w:type="lines" w:linePitch="312" w:charSpace="0"/>
        </w:sectPr>
      </w:pPr>
    </w:p>
    <w:bookmarkEnd w:id="21"/>
    <w:p>
      <w:pPr>
        <w:spacing w:line="20" w:lineRule="exact"/>
        <w:jc w:val="center"/>
        <w:rPr>
          <w:rFonts w:ascii="黑体" w:hAnsi="黑体" w:eastAsia="黑体"/>
          <w:sz w:val="32"/>
          <w:szCs w:val="32"/>
        </w:rPr>
      </w:pPr>
    </w:p>
    <w:p>
      <w:pPr>
        <w:spacing w:line="20" w:lineRule="exact"/>
        <w:jc w:val="center"/>
        <w:rPr>
          <w:rFonts w:ascii="黑体" w:hAnsi="黑体" w:eastAsia="黑体"/>
          <w:sz w:val="32"/>
          <w:szCs w:val="32"/>
        </w:rPr>
      </w:pPr>
    </w:p>
    <w:sdt>
      <w:sdtPr>
        <w:tag w:val="NEW_STAND_NAME"/>
        <w:id w:val="595910757"/>
        <w:lock w:val="sdtLocked"/>
        <w:placeholder>
          <w:docPart w:val="30C0AB28EC8A4301A234ECB54CD4A17D"/>
        </w:placeholder>
      </w:sdtPr>
      <w:sdtContent>
        <w:p>
          <w:pPr>
            <w:pStyle w:val="180"/>
            <w:spacing w:before="3" w:beforeLines="1" w:after="686" w:afterLines="220"/>
          </w:pPr>
          <w:bookmarkStart w:id="24" w:name="NEW_STAND_NAME"/>
          <w:r>
            <w:rPr>
              <w:rFonts w:hint="eastAsia"/>
            </w:rPr>
            <w:t>地表水环境质量监测网断面设置技术规范</w:t>
          </w:r>
        </w:p>
      </w:sdtContent>
    </w:sdt>
    <w:bookmarkEnd w:id="24"/>
    <w:p>
      <w:pPr>
        <w:pStyle w:val="107"/>
        <w:spacing w:before="312" w:after="312"/>
      </w:pPr>
      <w:bookmarkStart w:id="25" w:name="_Toc24884218"/>
      <w:bookmarkStart w:id="26" w:name="_Toc17233325"/>
      <w:bookmarkStart w:id="27" w:name="_Toc26648465"/>
      <w:bookmarkStart w:id="28" w:name="_Toc101390717"/>
      <w:bookmarkStart w:id="29" w:name="_Toc17233333"/>
      <w:bookmarkStart w:id="30" w:name="_Toc26986530"/>
      <w:bookmarkStart w:id="31" w:name="_Toc26986771"/>
      <w:bookmarkStart w:id="32" w:name="_Toc24884211"/>
      <w:bookmarkStart w:id="33" w:name="_Toc12921"/>
      <w:bookmarkStart w:id="34" w:name="_Toc89854537"/>
      <w:bookmarkStart w:id="35" w:name="_Toc89854543"/>
      <w:bookmarkStart w:id="36" w:name="_Toc26718930"/>
      <w:r>
        <w:rPr>
          <w:rFonts w:hint="eastAsia"/>
        </w:rPr>
        <w:t>范围</w:t>
      </w:r>
      <w:bookmarkEnd w:id="25"/>
      <w:bookmarkEnd w:id="26"/>
      <w:bookmarkEnd w:id="27"/>
      <w:bookmarkEnd w:id="28"/>
      <w:bookmarkEnd w:id="29"/>
      <w:bookmarkEnd w:id="30"/>
      <w:bookmarkEnd w:id="31"/>
      <w:bookmarkEnd w:id="32"/>
      <w:bookmarkEnd w:id="33"/>
      <w:bookmarkEnd w:id="34"/>
      <w:bookmarkEnd w:id="35"/>
      <w:bookmarkEnd w:id="36"/>
    </w:p>
    <w:p>
      <w:pPr>
        <w:pStyle w:val="59"/>
        <w:ind w:firstLine="420"/>
      </w:pPr>
      <w:bookmarkStart w:id="37" w:name="_Toc24884219"/>
      <w:bookmarkStart w:id="38" w:name="_Toc26648466"/>
      <w:bookmarkStart w:id="39" w:name="_Toc17233334"/>
      <w:bookmarkStart w:id="40" w:name="_Toc17233326"/>
      <w:bookmarkStart w:id="41" w:name="_Toc24884212"/>
      <w:r>
        <w:rPr>
          <w:rFonts w:hint="eastAsia"/>
        </w:rPr>
        <w:t>本文件规定了地表水环境质量监测网断面设置的原则、范围、方法、程序和要求。</w:t>
      </w:r>
    </w:p>
    <w:p>
      <w:pPr>
        <w:pStyle w:val="59"/>
        <w:ind w:firstLine="420"/>
      </w:pPr>
      <w:r>
        <w:rPr>
          <w:rFonts w:hint="eastAsia"/>
        </w:rPr>
        <w:t>本文件适用于江苏省地表水环境质量监测网的监测断面设置，其他地表水环境质量监测断面的设置可参照使用。</w:t>
      </w:r>
    </w:p>
    <w:p>
      <w:pPr>
        <w:pStyle w:val="107"/>
        <w:spacing w:before="312" w:after="312"/>
      </w:pPr>
      <w:bookmarkStart w:id="42" w:name="_Toc26986772"/>
      <w:bookmarkStart w:id="43" w:name="_Toc89854538"/>
      <w:bookmarkStart w:id="44" w:name="_Toc101390718"/>
      <w:bookmarkStart w:id="45" w:name="_Toc28061"/>
      <w:bookmarkStart w:id="46" w:name="_Toc26986531"/>
      <w:bookmarkStart w:id="47" w:name="_Toc26718931"/>
      <w:bookmarkStart w:id="48" w:name="_Toc89854544"/>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1EC234DE236A4708870A78BE98D8FAE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r>
        <w:rPr>
          <w:rFonts w:hint="eastAsia"/>
        </w:rPr>
        <w:t>GB/T 50095  水文基本术语和符号标准</w:t>
      </w:r>
    </w:p>
    <w:p>
      <w:pPr>
        <w:pStyle w:val="59"/>
        <w:ind w:firstLine="420"/>
      </w:pPr>
      <w:bookmarkStart w:id="49" w:name="_Hlk104812380"/>
      <w:r>
        <w:rPr>
          <w:rFonts w:hint="eastAsia"/>
        </w:rPr>
        <w:t>HJ 91</w:t>
      </w:r>
      <w:r>
        <w:t>.2</w:t>
      </w:r>
      <w:r>
        <w:rPr>
          <w:rFonts w:hint="eastAsia"/>
        </w:rPr>
        <w:t xml:space="preserve">  地表水环境质量监测技术规范</w:t>
      </w:r>
    </w:p>
    <w:bookmarkEnd w:id="49"/>
    <w:p>
      <w:pPr>
        <w:pStyle w:val="59"/>
        <w:ind w:firstLine="420"/>
      </w:pPr>
      <w:r>
        <w:rPr>
          <w:rFonts w:hint="eastAsia"/>
        </w:rPr>
        <w:t>SL 252  水利水电工程等级划分及洪水标准</w:t>
      </w:r>
    </w:p>
    <w:p>
      <w:pPr>
        <w:pStyle w:val="107"/>
        <w:spacing w:before="312" w:after="312"/>
      </w:pPr>
      <w:bookmarkStart w:id="50" w:name="_Toc101390483"/>
      <w:bookmarkEnd w:id="50"/>
      <w:bookmarkStart w:id="51" w:name="_Toc101390719"/>
      <w:bookmarkEnd w:id="51"/>
      <w:bookmarkStart w:id="52" w:name="_Toc101390720"/>
      <w:bookmarkStart w:id="53" w:name="_Toc20280"/>
      <w:bookmarkStart w:id="54" w:name="_Toc89854545"/>
      <w:bookmarkStart w:id="55" w:name="_Toc89854539"/>
      <w:r>
        <w:rPr>
          <w:rFonts w:hint="eastAsia"/>
          <w:szCs w:val="21"/>
        </w:rPr>
        <w:t>术语和定义</w:t>
      </w:r>
      <w:bookmarkEnd w:id="52"/>
      <w:bookmarkEnd w:id="53"/>
      <w:bookmarkEnd w:id="54"/>
      <w:bookmarkEnd w:id="55"/>
    </w:p>
    <w:sdt>
      <w:sdtPr>
        <w:id w:val="-1909835108"/>
        <w:placeholder>
          <w:docPart w:val="B6BC0E13884A40629F99CF5986C6009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56" w:name="_Toc26986532"/>
          <w:bookmarkEnd w:id="56"/>
          <w:r>
            <w:t>GB/T 50095、HJ 91.2界定的以及下列术语和定义适用于本文件。</w:t>
          </w:r>
        </w:p>
      </w:sdtContent>
    </w:sdt>
    <w:p>
      <w:pPr>
        <w:pStyle w:val="226"/>
        <w:ind w:left="420" w:hanging="420" w:hangingChars="200"/>
      </w:pPr>
    </w:p>
    <w:p>
      <w:pPr>
        <w:pStyle w:val="226"/>
        <w:numPr>
          <w:ilvl w:val="255"/>
          <w:numId w:val="0"/>
        </w:numPr>
        <w:ind w:left="-420" w:leftChars="-200" w:firstLine="840" w:firstLineChars="400"/>
      </w:pPr>
      <w:r>
        <w:rPr>
          <w:rFonts w:hint="eastAsia" w:ascii="黑体" w:hAnsi="黑体" w:eastAsia="黑体"/>
        </w:rPr>
        <w:t xml:space="preserve">大型湖泊 </w:t>
      </w:r>
      <w:r>
        <w:rPr>
          <w:rFonts w:ascii="黑体" w:hAnsi="黑体" w:eastAsia="黑体"/>
        </w:rPr>
        <w:t xml:space="preserve"> large-size lake</w:t>
      </w:r>
    </w:p>
    <w:p>
      <w:pPr>
        <w:pStyle w:val="59"/>
        <w:ind w:firstLine="420"/>
      </w:pPr>
      <w:r>
        <w:rPr>
          <w:rFonts w:hint="eastAsia"/>
        </w:rPr>
        <w:t>水面面积大于等于100km</w:t>
      </w:r>
      <w:r>
        <w:rPr>
          <w:rFonts w:hint="eastAsia"/>
          <w:vertAlign w:val="superscript"/>
        </w:rPr>
        <w:t>2</w:t>
      </w:r>
      <w:r>
        <w:rPr>
          <w:rFonts w:hint="eastAsia"/>
        </w:rPr>
        <w:t>，或容积大于等于1.0亿m</w:t>
      </w:r>
      <w:r>
        <w:rPr>
          <w:rFonts w:hint="eastAsia"/>
          <w:vertAlign w:val="superscript"/>
        </w:rPr>
        <w:t>3</w:t>
      </w:r>
      <w:r>
        <w:rPr>
          <w:rFonts w:hint="eastAsia"/>
        </w:rPr>
        <w:t>的湖泊。</w:t>
      </w:r>
    </w:p>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 xml:space="preserve">中型湖泊 </w:t>
      </w:r>
      <w:r>
        <w:rPr>
          <w:rFonts w:ascii="黑体" w:hAnsi="黑体" w:eastAsia="黑体"/>
        </w:rPr>
        <w:t xml:space="preserve"> medium-size lake</w:t>
      </w:r>
    </w:p>
    <w:p>
      <w:pPr>
        <w:pStyle w:val="59"/>
        <w:ind w:firstLine="420"/>
      </w:pPr>
      <w:r>
        <w:rPr>
          <w:rFonts w:hint="eastAsia"/>
        </w:rPr>
        <w:t>水面面积大于等于10km</w:t>
      </w:r>
      <w:r>
        <w:rPr>
          <w:rFonts w:hint="eastAsia"/>
          <w:vertAlign w:val="superscript"/>
        </w:rPr>
        <w:t>2</w:t>
      </w:r>
      <w:r>
        <w:rPr>
          <w:rFonts w:hint="eastAsia"/>
        </w:rPr>
        <w:t>且小于100km</w:t>
      </w:r>
      <w:r>
        <w:rPr>
          <w:rFonts w:hint="eastAsia"/>
          <w:vertAlign w:val="superscript"/>
        </w:rPr>
        <w:t>2</w:t>
      </w:r>
      <w:r>
        <w:rPr>
          <w:rFonts w:hint="eastAsia"/>
        </w:rPr>
        <w:t>，或容积大于等于0.10亿m</w:t>
      </w:r>
      <w:r>
        <w:rPr>
          <w:rFonts w:hint="eastAsia"/>
          <w:vertAlign w:val="superscript"/>
        </w:rPr>
        <w:t>3</w:t>
      </w:r>
      <w:r>
        <w:rPr>
          <w:rFonts w:hint="eastAsia"/>
        </w:rPr>
        <w:t>且小于1.0亿m</w:t>
      </w:r>
      <w:r>
        <w:rPr>
          <w:rFonts w:hint="eastAsia"/>
          <w:vertAlign w:val="superscript"/>
        </w:rPr>
        <w:t>3</w:t>
      </w:r>
      <w:r>
        <w:rPr>
          <w:rFonts w:hint="eastAsia"/>
        </w:rPr>
        <w:t>的湖泊。</w:t>
      </w:r>
    </w:p>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 xml:space="preserve">小型湖泊 </w:t>
      </w:r>
      <w:r>
        <w:rPr>
          <w:rFonts w:ascii="黑体" w:hAnsi="黑体" w:eastAsia="黑体"/>
        </w:rPr>
        <w:t xml:space="preserve"> </w:t>
      </w:r>
      <w:r>
        <w:rPr>
          <w:rFonts w:hint="eastAsia" w:ascii="黑体" w:hAnsi="黑体" w:eastAsia="黑体"/>
        </w:rPr>
        <w:t>small</w:t>
      </w:r>
      <w:r>
        <w:rPr>
          <w:rFonts w:ascii="黑体" w:hAnsi="黑体" w:eastAsia="黑体"/>
        </w:rPr>
        <w:t>-size lake</w:t>
      </w:r>
    </w:p>
    <w:p>
      <w:pPr>
        <w:pStyle w:val="226"/>
        <w:numPr>
          <w:ilvl w:val="0"/>
          <w:numId w:val="0"/>
        </w:numPr>
        <w:ind w:left="420"/>
      </w:pPr>
      <w:r>
        <w:rPr>
          <w:rFonts w:hint="eastAsia"/>
        </w:rPr>
        <w:t>水面面积小于10km</w:t>
      </w:r>
      <w:r>
        <w:rPr>
          <w:rFonts w:hint="eastAsia"/>
          <w:vertAlign w:val="superscript"/>
        </w:rPr>
        <w:t>2</w:t>
      </w:r>
      <w:r>
        <w:rPr>
          <w:rFonts w:hint="eastAsia"/>
        </w:rPr>
        <w:t>，或容积小于0.10亿m</w:t>
      </w:r>
      <w:r>
        <w:rPr>
          <w:rFonts w:hint="eastAsia"/>
          <w:vertAlign w:val="superscript"/>
        </w:rPr>
        <w:t>3</w:t>
      </w:r>
      <w:r>
        <w:rPr>
          <w:rFonts w:hint="eastAsia"/>
        </w:rPr>
        <w:t>的湖泊。</w:t>
      </w:r>
    </w:p>
    <w:p>
      <w:pPr>
        <w:pStyle w:val="226"/>
        <w:ind w:left="420" w:hanging="420" w:hangingChars="200"/>
      </w:pPr>
    </w:p>
    <w:p>
      <w:pPr>
        <w:pStyle w:val="226"/>
        <w:numPr>
          <w:ilvl w:val="255"/>
          <w:numId w:val="0"/>
        </w:numPr>
        <w:ind w:left="-420" w:leftChars="-200" w:firstLine="840" w:firstLineChars="400"/>
      </w:pPr>
      <w:r>
        <w:rPr>
          <w:rFonts w:hint="eastAsia" w:ascii="黑体" w:hAnsi="黑体" w:eastAsia="黑体"/>
        </w:rPr>
        <w:t>大型水库 large-size reservoir</w:t>
      </w:r>
    </w:p>
    <w:p>
      <w:pPr>
        <w:pStyle w:val="59"/>
        <w:ind w:firstLine="420"/>
      </w:pPr>
      <w:r>
        <w:rPr>
          <w:rFonts w:hint="eastAsia"/>
        </w:rPr>
        <w:t>总库容大于等于1.0亿m</w:t>
      </w:r>
      <w:r>
        <w:rPr>
          <w:rFonts w:hint="eastAsia"/>
          <w:vertAlign w:val="superscript"/>
        </w:rPr>
        <w:t>3</w:t>
      </w:r>
      <w:r>
        <w:rPr>
          <w:rFonts w:hint="eastAsia"/>
        </w:rPr>
        <w:t>的水库。</w:t>
      </w:r>
    </w:p>
    <w:p>
      <w:pPr>
        <w:pStyle w:val="59"/>
        <w:ind w:firstLine="420"/>
      </w:pPr>
      <w:r>
        <w:rPr>
          <w:rFonts w:hint="eastAsia"/>
        </w:rPr>
        <w:t>[来源：SL 252—2017，3.0.1]</w:t>
      </w:r>
    </w:p>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中型水库  medium-size reservoir</w:t>
      </w:r>
    </w:p>
    <w:p>
      <w:pPr>
        <w:pStyle w:val="59"/>
        <w:ind w:firstLine="420"/>
      </w:pPr>
      <w:r>
        <w:rPr>
          <w:rFonts w:hint="eastAsia"/>
        </w:rPr>
        <w:t>总库容大于等于0.10亿m</w:t>
      </w:r>
      <w:r>
        <w:rPr>
          <w:rFonts w:hint="eastAsia"/>
          <w:vertAlign w:val="superscript"/>
        </w:rPr>
        <w:t>3</w:t>
      </w:r>
      <w:r>
        <w:rPr>
          <w:rFonts w:hint="eastAsia"/>
        </w:rPr>
        <w:t>且小于1.0亿m</w:t>
      </w:r>
      <w:r>
        <w:rPr>
          <w:rFonts w:hint="eastAsia"/>
          <w:vertAlign w:val="superscript"/>
        </w:rPr>
        <w:t>3</w:t>
      </w:r>
      <w:r>
        <w:rPr>
          <w:rFonts w:hint="eastAsia"/>
        </w:rPr>
        <w:t>的水库。</w:t>
      </w:r>
    </w:p>
    <w:p>
      <w:pPr>
        <w:pStyle w:val="59"/>
        <w:ind w:firstLine="420"/>
      </w:pPr>
      <w:r>
        <w:rPr>
          <w:rFonts w:hint="eastAsia"/>
        </w:rPr>
        <w:t>[来源：SL 252—2017，3.0.1]</w:t>
      </w:r>
    </w:p>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小型水库  small-size reservoir</w:t>
      </w:r>
    </w:p>
    <w:p>
      <w:pPr>
        <w:pStyle w:val="59"/>
        <w:tabs>
          <w:tab w:val="right" w:pos="9354"/>
        </w:tabs>
        <w:ind w:firstLine="420"/>
      </w:pPr>
      <w:r>
        <w:rPr>
          <w:rFonts w:hint="eastAsia"/>
        </w:rPr>
        <w:t>总库容大于等于0.001亿m</w:t>
      </w:r>
      <w:r>
        <w:rPr>
          <w:rFonts w:hint="eastAsia"/>
          <w:vertAlign w:val="superscript"/>
        </w:rPr>
        <w:t>3</w:t>
      </w:r>
      <w:r>
        <w:rPr>
          <w:rFonts w:hint="eastAsia"/>
        </w:rPr>
        <w:t>且小于0.10亿m</w:t>
      </w:r>
      <w:r>
        <w:rPr>
          <w:rFonts w:hint="eastAsia"/>
          <w:vertAlign w:val="superscript"/>
        </w:rPr>
        <w:t>3</w:t>
      </w:r>
      <w:r>
        <w:rPr>
          <w:rFonts w:hint="eastAsia"/>
        </w:rPr>
        <w:t>的水库。</w:t>
      </w:r>
      <w:r>
        <w:tab/>
      </w:r>
    </w:p>
    <w:p>
      <w:pPr>
        <w:pStyle w:val="59"/>
        <w:ind w:firstLine="420"/>
      </w:pPr>
      <w:r>
        <w:rPr>
          <w:rFonts w:hint="eastAsia"/>
        </w:rPr>
        <w:t>[来源：SL 252—2017，3.0.1]</w:t>
      </w:r>
    </w:p>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监测断面</w:t>
      </w:r>
      <w:r>
        <w:rPr>
          <w:rFonts w:ascii="黑体" w:hAnsi="黑体" w:eastAsia="黑体"/>
        </w:rPr>
        <w:t xml:space="preserve">  monitoring cross-section</w:t>
      </w:r>
    </w:p>
    <w:p>
      <w:pPr>
        <w:pStyle w:val="59"/>
        <w:ind w:firstLine="420"/>
      </w:pPr>
      <w:bookmarkStart w:id="57" w:name="_Hlk102504064"/>
      <w:r>
        <w:rPr>
          <w:rFonts w:hint="eastAsia"/>
        </w:rPr>
        <w:t>在地表水实施水质监测时确定的监测位置，包括河流监测断面和湖库</w:t>
      </w:r>
      <w:r>
        <w:rPr>
          <w:rFonts w:hint="eastAsia"/>
          <w:highlight w:val="none"/>
        </w:rPr>
        <w:t>监测</w:t>
      </w:r>
      <w:r>
        <w:rPr>
          <w:rFonts w:hint="eastAsia"/>
        </w:rPr>
        <w:t>点位。</w:t>
      </w:r>
      <w:bookmarkEnd w:id="57"/>
    </w:p>
    <w:p>
      <w:pPr>
        <w:pStyle w:val="182"/>
        <w:rPr>
          <w:rFonts w:ascii="黑体" w:hAnsi="黑体" w:eastAsia="黑体"/>
        </w:rPr>
      </w:pPr>
      <w:r>
        <w:rPr>
          <w:rFonts w:hint="eastAsia"/>
        </w:rPr>
        <w:t>河流监测断面指在河流测量或采集水质样品时，设置在垂直于水流方向的某个指定剖面；湖库</w:t>
      </w:r>
      <w:r>
        <w:rPr>
          <w:rFonts w:hint="eastAsia"/>
          <w:highlight w:val="none"/>
        </w:rPr>
        <w:t>监测</w:t>
      </w:r>
      <w:r>
        <w:rPr>
          <w:rFonts w:hint="eastAsia"/>
        </w:rPr>
        <w:t>点位指在湖泊和水库测量或采集水质样品时，设置在水面某个指定位置及其垂直向下延伸的线。</w:t>
      </w:r>
    </w:p>
    <w:p>
      <w:pPr>
        <w:pStyle w:val="226"/>
        <w:ind w:left="420" w:hanging="420" w:hangingChars="200"/>
        <w:rPr>
          <w:rFonts w:ascii="黑体" w:hAnsi="黑体" w:eastAsia="黑体"/>
        </w:rPr>
      </w:pPr>
      <w:bookmarkStart w:id="58" w:name="_Hlk102504216"/>
    </w:p>
    <w:p>
      <w:pPr>
        <w:pStyle w:val="226"/>
        <w:numPr>
          <w:ilvl w:val="255"/>
          <w:numId w:val="0"/>
        </w:numPr>
        <w:ind w:left="-420" w:leftChars="-200" w:firstLine="840" w:firstLineChars="400"/>
        <w:rPr>
          <w:rFonts w:ascii="黑体" w:hAnsi="黑体" w:eastAsia="黑体"/>
        </w:rPr>
      </w:pPr>
      <w:r>
        <w:rPr>
          <w:rFonts w:hint="eastAsia" w:ascii="黑体" w:hAnsi="黑体" w:eastAsia="黑体"/>
        </w:rPr>
        <w:t>监测网</w:t>
      </w:r>
      <w:r>
        <w:rPr>
          <w:rFonts w:ascii="黑体" w:hAnsi="黑体" w:eastAsia="黑体"/>
        </w:rPr>
        <w:t xml:space="preserve">  monitoring network</w:t>
      </w:r>
    </w:p>
    <w:p>
      <w:pPr>
        <w:pStyle w:val="59"/>
        <w:ind w:firstLine="420"/>
      </w:pPr>
      <w:r>
        <w:rPr>
          <w:rFonts w:hint="eastAsia"/>
        </w:rPr>
        <w:t>在划定的区域或流域范围内，设置的</w:t>
      </w:r>
      <w:bookmarkStart w:id="59" w:name="_Hlk102510406"/>
      <w:r>
        <w:rPr>
          <w:rFonts w:hint="eastAsia"/>
        </w:rPr>
        <w:t>各类</w:t>
      </w:r>
      <w:bookmarkEnd w:id="59"/>
      <w:r>
        <w:rPr>
          <w:rFonts w:hint="eastAsia"/>
        </w:rPr>
        <w:t>地表水监测断面组成的网络。</w:t>
      </w:r>
    </w:p>
    <w:bookmarkEnd w:id="58"/>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 xml:space="preserve">背景断面  background </w:t>
      </w:r>
      <w:r>
        <w:rPr>
          <w:rFonts w:ascii="黑体" w:hAnsi="黑体" w:eastAsia="黑体"/>
        </w:rPr>
        <w:t>cross-</w:t>
      </w:r>
      <w:r>
        <w:rPr>
          <w:rFonts w:hint="eastAsia" w:ascii="黑体" w:hAnsi="黑体" w:eastAsia="黑体"/>
        </w:rPr>
        <w:t>section</w:t>
      </w:r>
    </w:p>
    <w:p>
      <w:pPr>
        <w:pStyle w:val="59"/>
        <w:ind w:firstLine="420"/>
      </w:pPr>
      <w:bookmarkStart w:id="60" w:name="_Hlk104811621"/>
      <w:r>
        <w:rPr>
          <w:rFonts w:hint="eastAsia"/>
        </w:rPr>
        <w:t>反映某一水系中未受或很少受人类生活和生产活动影响，能够反映水环境背景值的监测断面。</w:t>
      </w:r>
    </w:p>
    <w:bookmarkEnd w:id="60"/>
    <w:p>
      <w:pPr>
        <w:pStyle w:val="59"/>
        <w:ind w:firstLine="420"/>
      </w:pPr>
      <w:r>
        <w:rPr>
          <w:rFonts w:hint="eastAsia"/>
        </w:rPr>
        <w:t>[来源：HJ 91</w:t>
      </w:r>
      <w:r>
        <w:t>.2</w:t>
      </w:r>
      <w:r>
        <w:rPr>
          <w:rFonts w:hint="eastAsia"/>
        </w:rPr>
        <w:t>—20</w:t>
      </w:r>
      <w:r>
        <w:t>2</w:t>
      </w:r>
      <w:r>
        <w:rPr>
          <w:rFonts w:hint="eastAsia"/>
        </w:rPr>
        <w:t>2，3.</w:t>
      </w:r>
      <w:r>
        <w:t>10</w:t>
      </w:r>
      <w:r>
        <w:rPr>
          <w:rFonts w:hint="eastAsia"/>
        </w:rPr>
        <w:t>，有修改]</w:t>
      </w:r>
    </w:p>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 xml:space="preserve">控制断面  control </w:t>
      </w:r>
      <w:r>
        <w:rPr>
          <w:rFonts w:ascii="黑体" w:hAnsi="黑体" w:eastAsia="黑体"/>
        </w:rPr>
        <w:t>cross-</w:t>
      </w:r>
      <w:r>
        <w:rPr>
          <w:rFonts w:hint="eastAsia" w:ascii="黑体" w:hAnsi="黑体" w:eastAsia="黑体"/>
        </w:rPr>
        <w:t>section</w:t>
      </w:r>
    </w:p>
    <w:p>
      <w:pPr>
        <w:pStyle w:val="59"/>
        <w:ind w:firstLine="420"/>
      </w:pPr>
      <w:r>
        <w:rPr>
          <w:rFonts w:hint="eastAsia"/>
        </w:rPr>
        <w:t>反映水环境受污染程度及其变化情况的监测断面。</w:t>
      </w:r>
    </w:p>
    <w:p>
      <w:pPr>
        <w:pStyle w:val="59"/>
        <w:ind w:firstLine="420"/>
      </w:pPr>
      <w:r>
        <w:rPr>
          <w:rFonts w:hint="eastAsia"/>
        </w:rPr>
        <w:t>[来源：HJ 91</w:t>
      </w:r>
      <w:r>
        <w:t>.2</w:t>
      </w:r>
      <w:r>
        <w:rPr>
          <w:rFonts w:hint="eastAsia"/>
        </w:rPr>
        <w:t>—20</w:t>
      </w:r>
      <w:r>
        <w:t>2</w:t>
      </w:r>
      <w:r>
        <w:rPr>
          <w:rFonts w:hint="eastAsia"/>
        </w:rPr>
        <w:t>2，3.</w:t>
      </w:r>
      <w:r>
        <w:t>12</w:t>
      </w:r>
      <w:r>
        <w:rPr>
          <w:rFonts w:hint="eastAsia"/>
        </w:rPr>
        <w:t>，有修改]</w:t>
      </w:r>
    </w:p>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 xml:space="preserve">跨界断面  </w:t>
      </w:r>
      <w:r>
        <w:rPr>
          <w:rFonts w:ascii="黑体" w:hAnsi="黑体" w:eastAsia="黑体"/>
        </w:rPr>
        <w:t>trans-</w:t>
      </w:r>
      <w:r>
        <w:rPr>
          <w:rFonts w:hint="eastAsia" w:ascii="黑体" w:hAnsi="黑体" w:eastAsia="黑体"/>
        </w:rPr>
        <w:t xml:space="preserve">boundary </w:t>
      </w:r>
      <w:r>
        <w:rPr>
          <w:rFonts w:ascii="黑体" w:hAnsi="黑体" w:eastAsia="黑体"/>
        </w:rPr>
        <w:t>cross-</w:t>
      </w:r>
      <w:r>
        <w:rPr>
          <w:rFonts w:hint="eastAsia" w:ascii="黑体" w:hAnsi="黑体" w:eastAsia="黑体"/>
        </w:rPr>
        <w:t>section</w:t>
      </w:r>
    </w:p>
    <w:p>
      <w:pPr>
        <w:pStyle w:val="59"/>
        <w:ind w:firstLine="420"/>
      </w:pPr>
      <w:bookmarkStart w:id="61" w:name="_Hlk104811636"/>
      <w:r>
        <w:rPr>
          <w:rFonts w:hint="eastAsia"/>
        </w:rPr>
        <w:t>反映某一水体在两个或两个以上行政区域交界位置水质状况的监测断面。</w:t>
      </w:r>
    </w:p>
    <w:bookmarkEnd w:id="61"/>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 xml:space="preserve">入境断面  entry </w:t>
      </w:r>
      <w:r>
        <w:rPr>
          <w:rFonts w:ascii="黑体" w:hAnsi="黑体" w:eastAsia="黑体"/>
        </w:rPr>
        <w:t>cross-</w:t>
      </w:r>
      <w:r>
        <w:rPr>
          <w:rFonts w:hint="eastAsia" w:ascii="黑体" w:hAnsi="黑体" w:eastAsia="黑体"/>
        </w:rPr>
        <w:t>section</w:t>
      </w:r>
    </w:p>
    <w:p>
      <w:pPr>
        <w:pStyle w:val="59"/>
        <w:ind w:firstLine="420"/>
      </w:pPr>
      <w:bookmarkStart w:id="62" w:name="_Hlk104811654"/>
      <w:r>
        <w:rPr>
          <w:rFonts w:hint="eastAsia"/>
        </w:rPr>
        <w:t>反映水体流入某行政区域时水质状况的监测断面。</w:t>
      </w:r>
    </w:p>
    <w:p>
      <w:pPr>
        <w:pStyle w:val="59"/>
        <w:ind w:firstLine="420"/>
      </w:pPr>
      <w:r>
        <w:rPr>
          <w:rFonts w:hint="eastAsia"/>
        </w:rPr>
        <w:t>[来源：HJ 91</w:t>
      </w:r>
      <w:r>
        <w:t>.2</w:t>
      </w:r>
      <w:r>
        <w:rPr>
          <w:rFonts w:hint="eastAsia"/>
        </w:rPr>
        <w:t>—20</w:t>
      </w:r>
      <w:r>
        <w:t>2</w:t>
      </w:r>
      <w:r>
        <w:rPr>
          <w:rFonts w:hint="eastAsia"/>
        </w:rPr>
        <w:t>2，3.</w:t>
      </w:r>
      <w:r>
        <w:t>14</w:t>
      </w:r>
      <w:r>
        <w:rPr>
          <w:rFonts w:hint="eastAsia"/>
        </w:rPr>
        <w:t>，有修改]</w:t>
      </w:r>
    </w:p>
    <w:bookmarkEnd w:id="62"/>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 xml:space="preserve">出境断面  exit </w:t>
      </w:r>
      <w:r>
        <w:rPr>
          <w:rFonts w:ascii="黑体" w:hAnsi="黑体" w:eastAsia="黑体"/>
        </w:rPr>
        <w:t>cross-</w:t>
      </w:r>
      <w:r>
        <w:rPr>
          <w:rFonts w:hint="eastAsia" w:ascii="黑体" w:hAnsi="黑体" w:eastAsia="黑体"/>
        </w:rPr>
        <w:t>section</w:t>
      </w:r>
    </w:p>
    <w:p>
      <w:pPr>
        <w:pStyle w:val="59"/>
        <w:ind w:firstLine="420"/>
      </w:pPr>
      <w:bookmarkStart w:id="63" w:name="_Hlk104811679"/>
      <w:r>
        <w:rPr>
          <w:rFonts w:hint="eastAsia"/>
        </w:rPr>
        <w:t>反映水体流出某行政区域时水质状况的监测断面。</w:t>
      </w:r>
    </w:p>
    <w:p>
      <w:pPr>
        <w:pStyle w:val="59"/>
        <w:ind w:firstLine="420"/>
      </w:pPr>
      <w:r>
        <w:rPr>
          <w:rFonts w:hint="eastAsia"/>
        </w:rPr>
        <w:t>[来源：HJ 91</w:t>
      </w:r>
      <w:r>
        <w:t>.2</w:t>
      </w:r>
      <w:r>
        <w:rPr>
          <w:rFonts w:hint="eastAsia"/>
        </w:rPr>
        <w:t>—20</w:t>
      </w:r>
      <w:r>
        <w:t>2</w:t>
      </w:r>
      <w:r>
        <w:rPr>
          <w:rFonts w:hint="eastAsia"/>
        </w:rPr>
        <w:t>2，3.</w:t>
      </w:r>
      <w:r>
        <w:t>15</w:t>
      </w:r>
      <w:r>
        <w:rPr>
          <w:rFonts w:hint="eastAsia"/>
        </w:rPr>
        <w:t>，有修改]</w:t>
      </w:r>
      <w:bookmarkEnd w:id="63"/>
    </w:p>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 xml:space="preserve">共界断面  </w:t>
      </w:r>
      <w:bookmarkStart w:id="64" w:name="_Hlk104811724"/>
      <w:r>
        <w:rPr>
          <w:rFonts w:ascii="黑体" w:hAnsi="黑体" w:eastAsia="黑体"/>
        </w:rPr>
        <w:t>conjoint</w:t>
      </w:r>
      <w:bookmarkEnd w:id="64"/>
      <w:r>
        <w:rPr>
          <w:rFonts w:hint="eastAsia" w:ascii="黑体" w:hAnsi="黑体" w:eastAsia="黑体"/>
        </w:rPr>
        <w:t xml:space="preserve"> boundary </w:t>
      </w:r>
      <w:r>
        <w:rPr>
          <w:rFonts w:ascii="黑体" w:hAnsi="黑体" w:eastAsia="黑体"/>
        </w:rPr>
        <w:t>cross-</w:t>
      </w:r>
      <w:r>
        <w:rPr>
          <w:rFonts w:hint="eastAsia" w:ascii="黑体" w:hAnsi="黑体" w:eastAsia="黑体"/>
        </w:rPr>
        <w:t>section</w:t>
      </w:r>
    </w:p>
    <w:p>
      <w:pPr>
        <w:pStyle w:val="59"/>
        <w:ind w:firstLine="420"/>
      </w:pPr>
      <w:bookmarkStart w:id="65" w:name="_Hlk104811738"/>
      <w:r>
        <w:rPr>
          <w:rFonts w:hint="eastAsia"/>
        </w:rPr>
        <w:t>反映两个或两个以上行政区域水体共界区域水质状况的监测断面。</w:t>
      </w:r>
    </w:p>
    <w:bookmarkEnd w:id="65"/>
    <w:p>
      <w:pPr>
        <w:pStyle w:val="226"/>
        <w:ind w:left="420" w:hanging="420" w:hangingChars="200"/>
        <w:rPr>
          <w:rFonts w:ascii="黑体" w:hAnsi="黑体" w:eastAsia="黑体"/>
        </w:rPr>
      </w:pPr>
    </w:p>
    <w:p>
      <w:pPr>
        <w:pStyle w:val="226"/>
        <w:numPr>
          <w:ilvl w:val="255"/>
          <w:numId w:val="0"/>
        </w:numPr>
        <w:ind w:left="-420" w:leftChars="-200" w:firstLine="840" w:firstLineChars="400"/>
        <w:rPr>
          <w:rFonts w:ascii="黑体" w:hAnsi="黑体" w:eastAsia="黑体"/>
        </w:rPr>
      </w:pPr>
      <w:r>
        <w:rPr>
          <w:rFonts w:hint="eastAsia" w:ascii="黑体" w:hAnsi="黑体" w:eastAsia="黑体"/>
        </w:rPr>
        <w:t xml:space="preserve">水功能区代表断面  representative </w:t>
      </w:r>
      <w:r>
        <w:rPr>
          <w:rFonts w:ascii="黑体" w:hAnsi="黑体" w:eastAsia="黑体"/>
        </w:rPr>
        <w:t>cross-</w:t>
      </w:r>
      <w:r>
        <w:rPr>
          <w:rFonts w:hint="eastAsia" w:ascii="黑体" w:hAnsi="黑体" w:eastAsia="黑体"/>
        </w:rPr>
        <w:t>section of water function area</w:t>
      </w:r>
    </w:p>
    <w:p>
      <w:pPr>
        <w:pStyle w:val="59"/>
        <w:ind w:firstLine="420"/>
      </w:pPr>
      <w:r>
        <w:rPr>
          <w:rFonts w:hint="eastAsia"/>
        </w:rPr>
        <w:t>反映水功能区主导功能保障情况，能准确代表水功能区水质状况的监测断面。</w:t>
      </w:r>
    </w:p>
    <w:p>
      <w:pPr>
        <w:pStyle w:val="107"/>
        <w:spacing w:before="312" w:after="312"/>
      </w:pPr>
      <w:bookmarkStart w:id="66" w:name="_Toc15107"/>
      <w:bookmarkStart w:id="67" w:name="_Toc101390721"/>
      <w:r>
        <w:rPr>
          <w:rFonts w:hint="eastAsia"/>
        </w:rPr>
        <w:t>监测网断面设置原则</w:t>
      </w:r>
      <w:bookmarkEnd w:id="66"/>
      <w:bookmarkEnd w:id="67"/>
    </w:p>
    <w:p>
      <w:pPr>
        <w:pStyle w:val="108"/>
        <w:spacing w:before="156" w:after="156"/>
      </w:pPr>
      <w:bookmarkStart w:id="68" w:name="_Toc101390722"/>
      <w:bookmarkStart w:id="69" w:name="_Toc10431"/>
      <w:r>
        <w:rPr>
          <w:rFonts w:hint="eastAsia"/>
        </w:rPr>
        <w:t>科学性</w:t>
      </w:r>
      <w:bookmarkEnd w:id="68"/>
      <w:bookmarkEnd w:id="69"/>
    </w:p>
    <w:p>
      <w:pPr>
        <w:pStyle w:val="59"/>
        <w:ind w:firstLine="420"/>
      </w:pPr>
      <w:r>
        <w:rPr>
          <w:rFonts w:hint="eastAsia"/>
        </w:rPr>
        <w:t>总体上能科学、客观反映流域、水系和区域的水环境质量状况、污染物分布和变化规律，优先在重要骨干河道、大型湖泊和大型水库设置监测断面，在重大战略规划及环境管理重点区域加密设置监测断面。</w:t>
      </w:r>
    </w:p>
    <w:p>
      <w:pPr>
        <w:pStyle w:val="108"/>
        <w:spacing w:before="156" w:after="156"/>
      </w:pPr>
      <w:bookmarkStart w:id="70" w:name="_Toc101390723"/>
      <w:bookmarkStart w:id="71" w:name="_Toc25446"/>
      <w:r>
        <w:rPr>
          <w:rFonts w:hint="eastAsia"/>
        </w:rPr>
        <w:t>代表性</w:t>
      </w:r>
      <w:bookmarkEnd w:id="70"/>
      <w:bookmarkEnd w:id="71"/>
    </w:p>
    <w:p>
      <w:pPr>
        <w:pStyle w:val="59"/>
        <w:ind w:firstLine="420"/>
      </w:pPr>
      <w:r>
        <w:rPr>
          <w:rFonts w:hint="eastAsia"/>
        </w:rPr>
        <w:t>尽可能以最少的监测断面反映水体起止位置、行政区域出入境位置、受人类生活和生产活动影响位置、水功能区等代表性位置的环境信息。监测断面设置位置能反映所在区域水质状况。</w:t>
      </w:r>
    </w:p>
    <w:p>
      <w:pPr>
        <w:pStyle w:val="108"/>
        <w:spacing w:before="156" w:after="156"/>
      </w:pPr>
      <w:bookmarkStart w:id="72" w:name="_Toc101390724"/>
      <w:bookmarkStart w:id="73" w:name="_Toc8781"/>
      <w:r>
        <w:rPr>
          <w:rFonts w:hint="eastAsia"/>
        </w:rPr>
        <w:t>全面性</w:t>
      </w:r>
      <w:bookmarkEnd w:id="72"/>
      <w:bookmarkEnd w:id="73"/>
    </w:p>
    <w:p>
      <w:pPr>
        <w:pStyle w:val="59"/>
        <w:ind w:firstLine="420"/>
      </w:pPr>
      <w:r>
        <w:rPr>
          <w:rFonts w:hint="eastAsia"/>
        </w:rPr>
        <w:t>监测断面组成的监测网需满足水环境质量评价、水环境目标考核、水功能区水质评价、水生态评价的需求。</w:t>
      </w:r>
    </w:p>
    <w:p>
      <w:pPr>
        <w:pStyle w:val="108"/>
        <w:spacing w:before="156" w:after="156"/>
      </w:pPr>
      <w:bookmarkStart w:id="74" w:name="_Toc101390725"/>
      <w:bookmarkStart w:id="75" w:name="_Toc27060"/>
      <w:r>
        <w:rPr>
          <w:rFonts w:hint="eastAsia"/>
        </w:rPr>
        <w:t>延续性</w:t>
      </w:r>
      <w:bookmarkEnd w:id="74"/>
      <w:bookmarkEnd w:id="75"/>
    </w:p>
    <w:p>
      <w:pPr>
        <w:pStyle w:val="59"/>
        <w:ind w:firstLine="420"/>
      </w:pPr>
      <w:r>
        <w:rPr>
          <w:rFonts w:hint="eastAsia"/>
        </w:rPr>
        <w:t>覆盖同一规划周期内上级监测网中所有与本行政区域有关的监测断面，在符合本级监测网断面设置原则和设置要求的情况下，上一规划周期的本级监测网断面原则上予以保留，新增监测断面优先选择有历史监测数据的监测断面，确保监测数据和环境质量评价结果的延续性。</w:t>
      </w:r>
    </w:p>
    <w:p>
      <w:pPr>
        <w:pStyle w:val="108"/>
        <w:spacing w:before="156" w:after="156"/>
      </w:pPr>
      <w:bookmarkStart w:id="76" w:name="_Toc21790"/>
      <w:bookmarkStart w:id="77" w:name="_Toc101390726"/>
      <w:r>
        <w:rPr>
          <w:rFonts w:hint="eastAsia"/>
        </w:rPr>
        <w:t>可操作性</w:t>
      </w:r>
      <w:bookmarkEnd w:id="76"/>
      <w:bookmarkEnd w:id="77"/>
    </w:p>
    <w:p>
      <w:pPr>
        <w:pStyle w:val="59"/>
        <w:ind w:firstLine="420"/>
      </w:pPr>
      <w:r>
        <w:rPr>
          <w:rFonts w:hint="eastAsia"/>
        </w:rPr>
        <w:t>在符合其他设置原则的情况下，监测断面设置时需考虑现场采样和自动监测的可操作条件。</w:t>
      </w:r>
    </w:p>
    <w:p>
      <w:pPr>
        <w:pStyle w:val="107"/>
        <w:spacing w:before="312" w:after="312"/>
      </w:pPr>
      <w:bookmarkStart w:id="78" w:name="_Toc9266"/>
      <w:bookmarkStart w:id="79" w:name="_Toc101390727"/>
      <w:r>
        <w:rPr>
          <w:rFonts w:hint="eastAsia"/>
        </w:rPr>
        <w:t>监测网断面设置范围</w:t>
      </w:r>
      <w:bookmarkEnd w:id="78"/>
      <w:bookmarkEnd w:id="79"/>
    </w:p>
    <w:p>
      <w:pPr>
        <w:pStyle w:val="108"/>
        <w:spacing w:before="156" w:after="156"/>
      </w:pPr>
      <w:bookmarkStart w:id="80" w:name="_Toc101390728"/>
      <w:bookmarkStart w:id="81" w:name="_Toc16500"/>
      <w:r>
        <w:rPr>
          <w:rFonts w:hint="eastAsia"/>
        </w:rPr>
        <w:t>河流</w:t>
      </w:r>
      <w:bookmarkEnd w:id="80"/>
      <w:bookmarkEnd w:id="81"/>
    </w:p>
    <w:p>
      <w:pPr>
        <w:pStyle w:val="168"/>
        <w:ind w:left="0"/>
      </w:pPr>
      <w:r>
        <w:rPr>
          <w:rFonts w:hint="eastAsia"/>
        </w:rPr>
        <w:t>省级、市级、县级监测网断面应分级覆盖符合以下条件的河流。</w:t>
      </w:r>
    </w:p>
    <w:p>
      <w:pPr>
        <w:pStyle w:val="177"/>
        <w:ind w:left="0"/>
      </w:pPr>
      <w:r>
        <w:rPr>
          <w:rFonts w:hint="eastAsia"/>
        </w:rPr>
        <w:t>《江苏省骨干河道名录》中河长20km及以上的流域性河道、区域性骨干河道、跨县重要河道、县域重要河道；</w:t>
      </w:r>
    </w:p>
    <w:p>
      <w:pPr>
        <w:pStyle w:val="177"/>
        <w:ind w:left="0"/>
      </w:pPr>
      <w:r>
        <w:rPr>
          <w:rFonts w:hint="eastAsia"/>
        </w:rPr>
        <w:t>国家和省级调水输水通道干线及对其水质影响较大的重要支流；</w:t>
      </w:r>
    </w:p>
    <w:p>
      <w:pPr>
        <w:pStyle w:val="177"/>
        <w:ind w:left="0"/>
      </w:pPr>
      <w:r>
        <w:rPr>
          <w:rFonts w:hint="eastAsia"/>
        </w:rPr>
        <w:t>主要入海河流、长江主要支流；</w:t>
      </w:r>
    </w:p>
    <w:p>
      <w:pPr>
        <w:pStyle w:val="177"/>
        <w:ind w:left="0"/>
      </w:pPr>
      <w:r>
        <w:rPr>
          <w:rFonts w:hint="eastAsia"/>
        </w:rPr>
        <w:t>大型湖泊、大型水库的主要入湖、出湖、环湖河流；</w:t>
      </w:r>
    </w:p>
    <w:p>
      <w:pPr>
        <w:pStyle w:val="177"/>
        <w:ind w:left="0"/>
      </w:pPr>
      <w:r>
        <w:rPr>
          <w:rFonts w:hint="eastAsia"/>
        </w:rPr>
        <w:t>水污染矛盾突出的跨界河道。省级监测网优先覆盖跨省河道，兼顾跨市河道以及污染纠纷频发的跨县河道；市级监测网在省级监测网基础上，优先覆盖跨市河道，兼顾跨县河道；县级监测网在省、市两级监测网基础上，加密覆盖跨县河道；</w:t>
      </w:r>
    </w:p>
    <w:p>
      <w:pPr>
        <w:pStyle w:val="177"/>
        <w:ind w:left="0"/>
      </w:pPr>
      <w:r>
        <w:rPr>
          <w:rFonts w:hint="eastAsia"/>
        </w:rPr>
        <w:t>其他列入《江苏省地表水（环境）功能区划》中水功能区的所在河流。省级监测网重点覆盖国家和省级考核水功能区所在河流，市级和县级监测网在省级监测网的基础上进一步覆盖其他水功能区所在河流；</w:t>
      </w:r>
    </w:p>
    <w:p>
      <w:pPr>
        <w:pStyle w:val="177"/>
        <w:ind w:left="0"/>
      </w:pPr>
      <w:r>
        <w:rPr>
          <w:rFonts w:hint="eastAsia"/>
        </w:rPr>
        <w:t>单条河流年径流量超过县（市、区）来水总径流量80%的主要河流。</w:t>
      </w:r>
    </w:p>
    <w:p>
      <w:pPr>
        <w:pStyle w:val="168"/>
        <w:ind w:left="0"/>
      </w:pPr>
      <w:r>
        <w:rPr>
          <w:rFonts w:hint="eastAsia"/>
        </w:rPr>
        <w:t>省级、市级、县级监测网断面对各类骨干河道的覆盖率要求按表1执行。</w:t>
      </w:r>
    </w:p>
    <w:p>
      <w:pPr>
        <w:pStyle w:val="115"/>
        <w:spacing w:before="156" w:after="156"/>
      </w:pPr>
      <w:r>
        <w:rPr>
          <w:rFonts w:hint="eastAsia"/>
        </w:rPr>
        <w:t>监测网断面对各类骨干河道的覆盖率要求</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tcPr>
          <w:p>
            <w:pPr>
              <w:pStyle w:val="181"/>
            </w:pPr>
            <w:r>
              <w:rPr>
                <w:rFonts w:hint="eastAsia"/>
              </w:rPr>
              <w:t>河道级别</w:t>
            </w:r>
          </w:p>
        </w:tc>
        <w:tc>
          <w:tcPr>
            <w:tcW w:w="2333" w:type="dxa"/>
            <w:tcBorders>
              <w:top w:val="single" w:color="auto" w:sz="8" w:space="0"/>
              <w:bottom w:val="single" w:color="auto" w:sz="8" w:space="0"/>
            </w:tcBorders>
            <w:shd w:val="clear" w:color="auto" w:fill="auto"/>
          </w:tcPr>
          <w:p>
            <w:pPr>
              <w:pStyle w:val="181"/>
            </w:pPr>
            <w:r>
              <w:rPr>
                <w:rFonts w:hint="eastAsia"/>
              </w:rPr>
              <w:t>省级监测网</w:t>
            </w:r>
          </w:p>
        </w:tc>
        <w:tc>
          <w:tcPr>
            <w:tcW w:w="2333" w:type="dxa"/>
            <w:tcBorders>
              <w:top w:val="single" w:color="auto" w:sz="8" w:space="0"/>
              <w:bottom w:val="single" w:color="auto" w:sz="8" w:space="0"/>
            </w:tcBorders>
            <w:shd w:val="clear" w:color="auto" w:fill="auto"/>
          </w:tcPr>
          <w:p>
            <w:pPr>
              <w:pStyle w:val="181"/>
            </w:pPr>
            <w:r>
              <w:rPr>
                <w:rFonts w:hint="eastAsia"/>
              </w:rPr>
              <w:t>市级监测网</w:t>
            </w:r>
          </w:p>
        </w:tc>
        <w:tc>
          <w:tcPr>
            <w:tcW w:w="2334" w:type="dxa"/>
            <w:tcBorders>
              <w:top w:val="single" w:color="auto" w:sz="8" w:space="0"/>
              <w:bottom w:val="single" w:color="auto" w:sz="8" w:space="0"/>
            </w:tcBorders>
            <w:shd w:val="clear" w:color="auto" w:fill="auto"/>
          </w:tcPr>
          <w:p>
            <w:pPr>
              <w:pStyle w:val="181"/>
            </w:pPr>
            <w:r>
              <w:rPr>
                <w:rFonts w:hint="eastAsia"/>
              </w:rPr>
              <w:t>县级监测网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tcPr>
          <w:p>
            <w:pPr>
              <w:pStyle w:val="181"/>
            </w:pPr>
            <w:r>
              <w:rPr>
                <w:rFonts w:hint="eastAsia"/>
              </w:rPr>
              <w:t>流域性河道</w:t>
            </w:r>
          </w:p>
        </w:tc>
        <w:tc>
          <w:tcPr>
            <w:tcW w:w="2333" w:type="dxa"/>
            <w:tcBorders>
              <w:top w:val="single" w:color="auto" w:sz="8" w:space="0"/>
            </w:tcBorders>
            <w:shd w:val="clear" w:color="auto" w:fill="auto"/>
          </w:tcPr>
          <w:p>
            <w:pPr>
              <w:pStyle w:val="181"/>
            </w:pPr>
            <w:r>
              <w:rPr>
                <w:rFonts w:hint="eastAsia"/>
              </w:rPr>
              <w:t>≥70%</w:t>
            </w:r>
          </w:p>
        </w:tc>
        <w:tc>
          <w:tcPr>
            <w:tcW w:w="2333" w:type="dxa"/>
            <w:tcBorders>
              <w:top w:val="single" w:color="auto" w:sz="8" w:space="0"/>
            </w:tcBorders>
            <w:shd w:val="clear" w:color="auto" w:fill="auto"/>
          </w:tcPr>
          <w:p>
            <w:pPr>
              <w:pStyle w:val="181"/>
            </w:pPr>
            <w:r>
              <w:rPr>
                <w:rFonts w:hint="eastAsia"/>
              </w:rPr>
              <w:t>≥75%</w:t>
            </w:r>
          </w:p>
        </w:tc>
        <w:tc>
          <w:tcPr>
            <w:tcW w:w="2334" w:type="dxa"/>
            <w:tcBorders>
              <w:top w:val="single" w:color="auto" w:sz="8" w:space="0"/>
            </w:tcBorders>
            <w:shd w:val="clear" w:color="auto" w:fill="auto"/>
          </w:tcPr>
          <w:p>
            <w:pPr>
              <w:pStyle w:val="181"/>
            </w:pPr>
            <w:r>
              <w:rPr>
                <w:rFonts w:hint="eastAsia"/>
              </w:rPr>
              <w:t>≥80%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pStyle w:val="181"/>
            </w:pPr>
            <w:r>
              <w:rPr>
                <w:rFonts w:hint="eastAsia"/>
              </w:rPr>
              <w:t>区域性骨干河道</w:t>
            </w:r>
          </w:p>
        </w:tc>
        <w:tc>
          <w:tcPr>
            <w:tcW w:w="2333" w:type="dxa"/>
            <w:shd w:val="clear" w:color="auto" w:fill="auto"/>
          </w:tcPr>
          <w:p>
            <w:pPr>
              <w:pStyle w:val="181"/>
            </w:pPr>
            <w:r>
              <w:rPr>
                <w:rFonts w:hint="eastAsia"/>
              </w:rPr>
              <w:t>≥70%</w:t>
            </w:r>
          </w:p>
        </w:tc>
        <w:tc>
          <w:tcPr>
            <w:tcW w:w="2333" w:type="dxa"/>
            <w:shd w:val="clear" w:color="auto" w:fill="auto"/>
          </w:tcPr>
          <w:p>
            <w:pPr>
              <w:pStyle w:val="181"/>
            </w:pPr>
            <w:r>
              <w:rPr>
                <w:rFonts w:hint="eastAsia"/>
              </w:rPr>
              <w:t>≥75%</w:t>
            </w:r>
          </w:p>
        </w:tc>
        <w:tc>
          <w:tcPr>
            <w:tcW w:w="2334" w:type="dxa"/>
            <w:shd w:val="clear" w:color="auto" w:fill="auto"/>
          </w:tcPr>
          <w:p>
            <w:pPr>
              <w:pStyle w:val="181"/>
            </w:pPr>
            <w:r>
              <w:rPr>
                <w:rFonts w:hint="eastAsia"/>
              </w:rPr>
              <w:t>≥80%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pStyle w:val="181"/>
            </w:pPr>
            <w:r>
              <w:rPr>
                <w:rFonts w:hint="eastAsia"/>
              </w:rPr>
              <w:t>跨县重要河道</w:t>
            </w:r>
          </w:p>
        </w:tc>
        <w:tc>
          <w:tcPr>
            <w:tcW w:w="2333" w:type="dxa"/>
            <w:shd w:val="clear" w:color="auto" w:fill="auto"/>
          </w:tcPr>
          <w:p>
            <w:pPr>
              <w:pStyle w:val="181"/>
            </w:pPr>
            <w:r>
              <w:rPr>
                <w:rFonts w:hint="eastAsia"/>
              </w:rPr>
              <w:t>≥30%</w:t>
            </w:r>
          </w:p>
        </w:tc>
        <w:tc>
          <w:tcPr>
            <w:tcW w:w="2333" w:type="dxa"/>
            <w:shd w:val="clear" w:color="auto" w:fill="auto"/>
          </w:tcPr>
          <w:p>
            <w:pPr>
              <w:pStyle w:val="181"/>
            </w:pPr>
            <w:r>
              <w:rPr>
                <w:rFonts w:hint="eastAsia"/>
              </w:rPr>
              <w:t>≥40%</w:t>
            </w:r>
          </w:p>
        </w:tc>
        <w:tc>
          <w:tcPr>
            <w:tcW w:w="2334" w:type="dxa"/>
            <w:shd w:val="clear" w:color="auto" w:fill="auto"/>
          </w:tcPr>
          <w:p>
            <w:pPr>
              <w:pStyle w:val="181"/>
            </w:pPr>
            <w:r>
              <w:rPr>
                <w:rFonts w:hint="eastAsi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pStyle w:val="181"/>
            </w:pPr>
            <w:r>
              <w:rPr>
                <w:rFonts w:hint="eastAsia"/>
              </w:rPr>
              <w:t>县域重要河道</w:t>
            </w:r>
          </w:p>
        </w:tc>
        <w:tc>
          <w:tcPr>
            <w:tcW w:w="2333" w:type="dxa"/>
            <w:shd w:val="clear" w:color="auto" w:fill="auto"/>
          </w:tcPr>
          <w:p>
            <w:pPr>
              <w:pStyle w:val="181"/>
            </w:pPr>
            <w:r>
              <w:rPr>
                <w:rFonts w:hint="eastAsia"/>
              </w:rPr>
              <w:t>≥20%</w:t>
            </w:r>
          </w:p>
        </w:tc>
        <w:tc>
          <w:tcPr>
            <w:tcW w:w="2333" w:type="dxa"/>
            <w:shd w:val="clear" w:color="auto" w:fill="auto"/>
          </w:tcPr>
          <w:p>
            <w:pPr>
              <w:pStyle w:val="181"/>
            </w:pPr>
            <w:r>
              <w:rPr>
                <w:rFonts w:hint="eastAsia"/>
              </w:rPr>
              <w:t>≥25%</w:t>
            </w:r>
          </w:p>
        </w:tc>
        <w:tc>
          <w:tcPr>
            <w:tcW w:w="2334" w:type="dxa"/>
            <w:shd w:val="clear" w:color="auto" w:fill="auto"/>
          </w:tcPr>
          <w:p>
            <w:pPr>
              <w:pStyle w:val="181"/>
            </w:pPr>
            <w:r>
              <w:rPr>
                <w:rFonts w:hint="eastAsia"/>
              </w:rPr>
              <w:t>≥30%</w:t>
            </w:r>
          </w:p>
        </w:tc>
      </w:tr>
    </w:tbl>
    <w:p>
      <w:pPr>
        <w:pStyle w:val="108"/>
        <w:spacing w:before="156" w:after="156"/>
      </w:pPr>
      <w:bookmarkStart w:id="82" w:name="_Toc22243"/>
      <w:bookmarkStart w:id="83" w:name="_Toc101390729"/>
      <w:r>
        <w:rPr>
          <w:rFonts w:hint="eastAsia"/>
        </w:rPr>
        <w:t>湖泊和水库</w:t>
      </w:r>
      <w:bookmarkEnd w:id="82"/>
      <w:bookmarkEnd w:id="83"/>
    </w:p>
    <w:p>
      <w:pPr>
        <w:pStyle w:val="168"/>
        <w:ind w:left="0"/>
      </w:pPr>
      <w:r>
        <w:rPr>
          <w:rFonts w:hint="eastAsia"/>
        </w:rPr>
        <w:t>省级、市级、县级监测网断面应分级覆盖符合以下条件的湖泊和水库。</w:t>
      </w:r>
    </w:p>
    <w:p>
      <w:pPr>
        <w:pStyle w:val="177"/>
        <w:numPr>
          <w:ilvl w:val="0"/>
          <w:numId w:val="32"/>
        </w:numPr>
        <w:ind w:left="0"/>
      </w:pPr>
      <w:r>
        <w:rPr>
          <w:rFonts w:hint="eastAsia"/>
        </w:rPr>
        <w:t>大型湖泊、大型水库；</w:t>
      </w:r>
    </w:p>
    <w:p>
      <w:pPr>
        <w:pStyle w:val="177"/>
      </w:pPr>
      <w:bookmarkStart w:id="84" w:name="_Hlk101437656"/>
      <w:r>
        <w:rPr>
          <w:rFonts w:hint="eastAsia"/>
        </w:rPr>
        <w:t>中型湖泊、中型水库。省级监测网优先覆盖跨省、跨市的中型湖泊、中型水库，市级和县级监测网在省级监测网的基础上进一步覆盖其他中型湖泊、中型水库；</w:t>
      </w:r>
    </w:p>
    <w:p>
      <w:pPr>
        <w:pStyle w:val="177"/>
        <w:ind w:left="0"/>
      </w:pPr>
      <w:r>
        <w:rPr>
          <w:rFonts w:hint="eastAsia"/>
        </w:rPr>
        <w:t>具有城市饮用水水源或重要景观功能的小型湖泊、小型水库。市级和县级监测网覆盖其他具有城市饮用水水源或重要景观功能的小型湖泊、小型水库；</w:t>
      </w:r>
    </w:p>
    <w:bookmarkEnd w:id="84"/>
    <w:p>
      <w:pPr>
        <w:pStyle w:val="177"/>
        <w:ind w:left="0"/>
      </w:pPr>
      <w:r>
        <w:rPr>
          <w:rFonts w:hint="eastAsia"/>
        </w:rPr>
        <w:t>其他列入《江苏省地表水（环境）功能区划》中水功能区的所在湖泊和水库。省级监测网重点覆盖国家和省级考核水功能区所在湖泊和水库，市级和县级监测网在省级监测网的基础上进一步覆盖其他水功能区所在湖泊和水库。</w:t>
      </w:r>
    </w:p>
    <w:p>
      <w:pPr>
        <w:pStyle w:val="168"/>
        <w:ind w:left="0"/>
      </w:pPr>
      <w:r>
        <w:rPr>
          <w:rFonts w:hint="eastAsia"/>
        </w:rPr>
        <w:t>省级、市级、县级监测网断面对各类湖泊和水库的覆盖率要求按表2执行。</w:t>
      </w:r>
    </w:p>
    <w:p>
      <w:pPr>
        <w:pStyle w:val="115"/>
        <w:spacing w:before="156" w:after="156"/>
      </w:pPr>
      <w:r>
        <w:rPr>
          <w:rFonts w:hint="eastAsia"/>
        </w:rPr>
        <w:t>监测网断面对各类湖泊和水库的覆盖率要求</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tcPr>
          <w:p>
            <w:pPr>
              <w:pStyle w:val="181"/>
            </w:pPr>
            <w:r>
              <w:rPr>
                <w:rFonts w:hint="eastAsia"/>
              </w:rPr>
              <w:t>河道级别</w:t>
            </w:r>
          </w:p>
        </w:tc>
        <w:tc>
          <w:tcPr>
            <w:tcW w:w="2333" w:type="dxa"/>
            <w:tcBorders>
              <w:top w:val="single" w:color="auto" w:sz="8" w:space="0"/>
              <w:bottom w:val="single" w:color="auto" w:sz="8" w:space="0"/>
            </w:tcBorders>
            <w:shd w:val="clear" w:color="auto" w:fill="auto"/>
          </w:tcPr>
          <w:p>
            <w:pPr>
              <w:pStyle w:val="181"/>
            </w:pPr>
            <w:r>
              <w:rPr>
                <w:rFonts w:hint="eastAsia"/>
              </w:rPr>
              <w:t>省级监测网</w:t>
            </w:r>
          </w:p>
        </w:tc>
        <w:tc>
          <w:tcPr>
            <w:tcW w:w="2333" w:type="dxa"/>
            <w:tcBorders>
              <w:top w:val="single" w:color="auto" w:sz="8" w:space="0"/>
              <w:bottom w:val="single" w:color="auto" w:sz="8" w:space="0"/>
            </w:tcBorders>
            <w:shd w:val="clear" w:color="auto" w:fill="auto"/>
          </w:tcPr>
          <w:p>
            <w:pPr>
              <w:pStyle w:val="181"/>
            </w:pPr>
            <w:r>
              <w:rPr>
                <w:rFonts w:hint="eastAsia"/>
              </w:rPr>
              <w:t>市级监测网</w:t>
            </w:r>
          </w:p>
        </w:tc>
        <w:tc>
          <w:tcPr>
            <w:tcW w:w="2334" w:type="dxa"/>
            <w:tcBorders>
              <w:top w:val="single" w:color="auto" w:sz="8" w:space="0"/>
              <w:bottom w:val="single" w:color="auto" w:sz="8" w:space="0"/>
            </w:tcBorders>
            <w:shd w:val="clear" w:color="auto" w:fill="auto"/>
          </w:tcPr>
          <w:p>
            <w:pPr>
              <w:pStyle w:val="181"/>
            </w:pPr>
            <w:r>
              <w:rPr>
                <w:rFonts w:hint="eastAsia"/>
              </w:rPr>
              <w:t>县级监测网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tcPr>
          <w:p>
            <w:pPr>
              <w:pStyle w:val="181"/>
            </w:pPr>
            <w:r>
              <w:rPr>
                <w:rFonts w:hint="eastAsia"/>
              </w:rPr>
              <w:t>大型湖泊、大型水库</w:t>
            </w:r>
          </w:p>
        </w:tc>
        <w:tc>
          <w:tcPr>
            <w:tcW w:w="2333" w:type="dxa"/>
            <w:tcBorders>
              <w:top w:val="single" w:color="auto" w:sz="8" w:space="0"/>
            </w:tcBorders>
            <w:shd w:val="clear" w:color="auto" w:fill="auto"/>
          </w:tcPr>
          <w:p>
            <w:pPr>
              <w:pStyle w:val="181"/>
            </w:pPr>
            <w:r>
              <w:rPr>
                <w:rFonts w:hint="eastAsia"/>
              </w:rPr>
              <w:t>100%</w:t>
            </w:r>
          </w:p>
        </w:tc>
        <w:tc>
          <w:tcPr>
            <w:tcW w:w="2333" w:type="dxa"/>
            <w:tcBorders>
              <w:top w:val="single" w:color="auto" w:sz="8" w:space="0"/>
            </w:tcBorders>
            <w:shd w:val="clear" w:color="auto" w:fill="auto"/>
          </w:tcPr>
          <w:p>
            <w:pPr>
              <w:pStyle w:val="181"/>
            </w:pPr>
            <w:r>
              <w:rPr>
                <w:rFonts w:hint="eastAsia"/>
              </w:rPr>
              <w:t>100%</w:t>
            </w:r>
          </w:p>
        </w:tc>
        <w:tc>
          <w:tcPr>
            <w:tcW w:w="2334" w:type="dxa"/>
            <w:tcBorders>
              <w:top w:val="single" w:color="auto" w:sz="8" w:space="0"/>
            </w:tcBorders>
            <w:shd w:val="clear" w:color="auto" w:fill="auto"/>
          </w:tcPr>
          <w:p>
            <w:pPr>
              <w:pStyle w:val="181"/>
            </w:pPr>
            <w:r>
              <w:rPr>
                <w:rFonts w:hint="eastAsi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pStyle w:val="181"/>
            </w:pPr>
            <w:r>
              <w:rPr>
                <w:rFonts w:hint="eastAsia"/>
              </w:rPr>
              <w:t>中型湖泊、中型水库</w:t>
            </w:r>
          </w:p>
        </w:tc>
        <w:tc>
          <w:tcPr>
            <w:tcW w:w="2333" w:type="dxa"/>
            <w:shd w:val="clear" w:color="auto" w:fill="auto"/>
          </w:tcPr>
          <w:p>
            <w:pPr>
              <w:pStyle w:val="181"/>
            </w:pPr>
            <w:r>
              <w:rPr>
                <w:rFonts w:hint="eastAsia"/>
              </w:rPr>
              <w:t>≥40%</w:t>
            </w:r>
          </w:p>
        </w:tc>
        <w:tc>
          <w:tcPr>
            <w:tcW w:w="2333" w:type="dxa"/>
            <w:shd w:val="clear" w:color="auto" w:fill="auto"/>
          </w:tcPr>
          <w:p>
            <w:pPr>
              <w:pStyle w:val="181"/>
            </w:pPr>
            <w:r>
              <w:rPr>
                <w:rFonts w:hint="eastAsia"/>
              </w:rPr>
              <w:t>≥45%</w:t>
            </w:r>
          </w:p>
        </w:tc>
        <w:tc>
          <w:tcPr>
            <w:tcW w:w="2334" w:type="dxa"/>
            <w:shd w:val="clear" w:color="auto" w:fill="auto"/>
          </w:tcPr>
          <w:p>
            <w:pPr>
              <w:pStyle w:val="181"/>
            </w:pPr>
            <w:r>
              <w:rPr>
                <w:rFonts w:hint="eastAsia"/>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tcPr>
          <w:p>
            <w:pPr>
              <w:pStyle w:val="181"/>
            </w:pPr>
            <w:r>
              <w:rPr>
                <w:rFonts w:hint="eastAsia"/>
              </w:rPr>
              <w:t>小型湖泊、小型水库</w:t>
            </w:r>
          </w:p>
        </w:tc>
        <w:tc>
          <w:tcPr>
            <w:tcW w:w="2333" w:type="dxa"/>
            <w:shd w:val="clear" w:color="auto" w:fill="auto"/>
          </w:tcPr>
          <w:p>
            <w:pPr>
              <w:pStyle w:val="181"/>
            </w:pPr>
            <w:r>
              <w:rPr>
                <w:rFonts w:hint="eastAsia"/>
              </w:rPr>
              <w:t>—</w:t>
            </w:r>
          </w:p>
        </w:tc>
        <w:tc>
          <w:tcPr>
            <w:tcW w:w="2333" w:type="dxa"/>
            <w:shd w:val="clear" w:color="auto" w:fill="auto"/>
          </w:tcPr>
          <w:p>
            <w:pPr>
              <w:pStyle w:val="181"/>
            </w:pPr>
            <w:r>
              <w:rPr>
                <w:rFonts w:hint="eastAsia"/>
              </w:rPr>
              <w:t>≥5%</w:t>
            </w:r>
          </w:p>
        </w:tc>
        <w:tc>
          <w:tcPr>
            <w:tcW w:w="2334" w:type="dxa"/>
            <w:shd w:val="clear" w:color="auto" w:fill="auto"/>
          </w:tcPr>
          <w:p>
            <w:pPr>
              <w:pStyle w:val="181"/>
            </w:pPr>
            <w:r>
              <w:rPr>
                <w:rFonts w:hint="eastAsia"/>
              </w:rPr>
              <w:t>≥10%</w:t>
            </w:r>
          </w:p>
        </w:tc>
      </w:tr>
    </w:tbl>
    <w:p>
      <w:pPr>
        <w:pStyle w:val="107"/>
        <w:spacing w:before="312" w:after="312"/>
      </w:pPr>
      <w:bookmarkStart w:id="85" w:name="_Toc101390730"/>
      <w:bookmarkStart w:id="86" w:name="_Toc31460"/>
      <w:r>
        <w:rPr>
          <w:rFonts w:hint="eastAsia"/>
        </w:rPr>
        <w:t>监测网断面设置方法</w:t>
      </w:r>
      <w:bookmarkEnd w:id="85"/>
      <w:bookmarkEnd w:id="86"/>
    </w:p>
    <w:p>
      <w:pPr>
        <w:pStyle w:val="108"/>
        <w:spacing w:before="156" w:after="156"/>
      </w:pPr>
      <w:bookmarkStart w:id="87" w:name="_Toc101390731"/>
      <w:bookmarkStart w:id="88" w:name="_Toc7715"/>
      <w:r>
        <w:rPr>
          <w:rFonts w:hint="eastAsia"/>
        </w:rPr>
        <w:t>通用要求</w:t>
      </w:r>
      <w:bookmarkEnd w:id="87"/>
      <w:bookmarkEnd w:id="88"/>
    </w:p>
    <w:p>
      <w:pPr>
        <w:pStyle w:val="168"/>
        <w:ind w:left="0"/>
      </w:pPr>
      <w:r>
        <w:rPr>
          <w:rFonts w:hint="eastAsia"/>
        </w:rPr>
        <w:t>构建省级、市界、县级等区域监测网，按照不同监测目标分别设置背景断面、起点断面、终点断面、入境断面、出境断面、共界断面、控制断面、水功能区代表断面等类型的监测断面。根据不同监测目标设置的监测断面发生重复时，合并设置1个监测断面。</w:t>
      </w:r>
    </w:p>
    <w:p>
      <w:pPr>
        <w:pStyle w:val="168"/>
        <w:ind w:left="0"/>
      </w:pPr>
      <w:r>
        <w:rPr>
          <w:rFonts w:hint="eastAsia"/>
        </w:rPr>
        <w:t>根据各行政区域面积大小及水系发达程度，</w:t>
      </w:r>
      <w:bookmarkStart w:id="89" w:name="_Hlk101440517"/>
      <w:r>
        <w:rPr>
          <w:rFonts w:hint="eastAsia"/>
        </w:rPr>
        <w:t>均衡同一监测网中</w:t>
      </w:r>
      <w:bookmarkEnd w:id="89"/>
      <w:r>
        <w:rPr>
          <w:rFonts w:hint="eastAsia"/>
        </w:rPr>
        <w:t>各行政单元的监测断面数量。</w:t>
      </w:r>
    </w:p>
    <w:p>
      <w:pPr>
        <w:pStyle w:val="168"/>
        <w:ind w:left="0"/>
      </w:pPr>
      <w:bookmarkStart w:id="90" w:name="_Hlk101440693"/>
      <w:r>
        <w:rPr>
          <w:rFonts w:hint="eastAsia"/>
        </w:rPr>
        <w:t>在《江苏省地表水（环境）功能区划》中同一水功能区原则上至少设置1个监测断面代表其水质。同一水功能区内，原先同时设有水功能区监测断面</w:t>
      </w:r>
      <w:bookmarkStart w:id="152" w:name="_GoBack"/>
      <w:bookmarkEnd w:id="152"/>
      <w:r>
        <w:rPr>
          <w:rFonts w:hint="eastAsia"/>
        </w:rPr>
        <w:t>和地表水环境质量监测断面的，应合并设置监测断面，在符合其他监测断面设置要求的基础上优先采用原地表水环境质量监测断面。</w:t>
      </w:r>
      <w:bookmarkEnd w:id="90"/>
    </w:p>
    <w:p>
      <w:pPr>
        <w:pStyle w:val="168"/>
        <w:ind w:left="0"/>
      </w:pPr>
      <w:r>
        <w:rPr>
          <w:rFonts w:hint="eastAsia"/>
        </w:rPr>
        <w:t>监测断面位置应选在水质均匀的水域，避开死水区、回水区、急流、浅滩、支流口、取排水口及危险处，优先选择顺直河段、河床稳定、水流平稳、水面宽阔，兼顾水生态监测要求。</w:t>
      </w:r>
    </w:p>
    <w:p>
      <w:pPr>
        <w:pStyle w:val="168"/>
        <w:ind w:left="0"/>
      </w:pPr>
      <w:r>
        <w:rPr>
          <w:rFonts w:hint="eastAsia"/>
        </w:rPr>
        <w:t>监测断面位置要求交通可达、环境安全、监测便利，兼顾周边具备水质自动监测站建设条件。</w:t>
      </w:r>
    </w:p>
    <w:p>
      <w:pPr>
        <w:pStyle w:val="108"/>
        <w:spacing w:before="156" w:after="156"/>
      </w:pPr>
      <w:bookmarkStart w:id="91" w:name="_Toc101390498"/>
      <w:bookmarkEnd w:id="91"/>
      <w:bookmarkStart w:id="92" w:name="_Toc101390732"/>
      <w:bookmarkEnd w:id="92"/>
      <w:bookmarkStart w:id="93" w:name="_Toc101390497"/>
      <w:bookmarkEnd w:id="93"/>
      <w:bookmarkStart w:id="94" w:name="_Toc101390733"/>
      <w:bookmarkEnd w:id="94"/>
      <w:bookmarkStart w:id="95" w:name="_Toc101390496"/>
      <w:bookmarkEnd w:id="95"/>
      <w:bookmarkStart w:id="96" w:name="_Toc101390500"/>
      <w:bookmarkEnd w:id="96"/>
      <w:bookmarkStart w:id="97" w:name="_Toc101390734"/>
      <w:bookmarkEnd w:id="97"/>
      <w:bookmarkStart w:id="98" w:name="_Toc101390736"/>
      <w:bookmarkEnd w:id="98"/>
      <w:bookmarkStart w:id="99" w:name="_Toc30482"/>
      <w:bookmarkStart w:id="100" w:name="_Toc101390737"/>
      <w:r>
        <w:rPr>
          <w:rFonts w:hint="eastAsia"/>
        </w:rPr>
        <w:t>河流断面</w:t>
      </w:r>
      <w:bookmarkEnd w:id="99"/>
      <w:bookmarkEnd w:id="100"/>
    </w:p>
    <w:p>
      <w:pPr>
        <w:pStyle w:val="168"/>
        <w:ind w:left="0"/>
      </w:pPr>
      <w:r>
        <w:rPr>
          <w:rFonts w:hint="eastAsia"/>
        </w:rPr>
        <w:t>在本区域内起源的河道，根据需要设置</w:t>
      </w:r>
      <w:r>
        <w:rPr>
          <w:rFonts w:hint="eastAsia" w:ascii="黑体" w:hAnsi="黑体" w:eastAsia="黑体" w:cs="黑体"/>
        </w:rPr>
        <w:t>背景断面</w:t>
      </w:r>
      <w:r>
        <w:rPr>
          <w:rFonts w:hint="eastAsia"/>
        </w:rPr>
        <w:t>。监测断面设置在水系源头处或未受污染的上游河段，要求基本不受人类活动影响，远离城市居民区、工业区、农药化肥施用区及主要交通路线。</w:t>
      </w:r>
    </w:p>
    <w:p>
      <w:pPr>
        <w:pStyle w:val="168"/>
        <w:ind w:left="0"/>
      </w:pPr>
      <w:r>
        <w:rPr>
          <w:rFonts w:hint="eastAsia"/>
        </w:rPr>
        <w:t>在本区域内由其他水体汇流形成的河道，根据需要设置</w:t>
      </w:r>
      <w:r>
        <w:rPr>
          <w:rFonts w:hint="eastAsia" w:ascii="黑体" w:hAnsi="黑体" w:eastAsia="黑体" w:cs="黑体"/>
        </w:rPr>
        <w:t>起点断面</w:t>
      </w:r>
      <w:r>
        <w:rPr>
          <w:rFonts w:hint="eastAsia"/>
        </w:rPr>
        <w:t>。监测断面原则上设置在河道起始位置，若目标河道由多个水体汇流形成，则监测断面应设置在水体完全混合段。</w:t>
      </w:r>
    </w:p>
    <w:p>
      <w:pPr>
        <w:pStyle w:val="168"/>
        <w:ind w:left="0"/>
      </w:pPr>
      <w:r>
        <w:rPr>
          <w:rFonts w:hint="eastAsia"/>
        </w:rPr>
        <w:t>在本区域内汇入其他水体而终止的河道，根据需要设置</w:t>
      </w:r>
      <w:r>
        <w:rPr>
          <w:rFonts w:hint="eastAsia" w:ascii="黑体" w:hAnsi="黑体" w:eastAsia="黑体" w:cs="黑体"/>
        </w:rPr>
        <w:t>终点断面</w:t>
      </w:r>
      <w:r>
        <w:rPr>
          <w:rFonts w:hint="eastAsia"/>
        </w:rPr>
        <w:t>。监测断面应设置在河道末端，主要污染源下游且未与下游水体混合处。</w:t>
      </w:r>
    </w:p>
    <w:p>
      <w:pPr>
        <w:pStyle w:val="168"/>
        <w:ind w:left="0"/>
      </w:pPr>
      <w:r>
        <w:rPr>
          <w:rFonts w:hint="eastAsia"/>
        </w:rPr>
        <w:t>跨界河段属上下游交界的，</w:t>
      </w:r>
      <w:r>
        <w:rPr>
          <w:rFonts w:hint="eastAsia" w:ascii="黑体" w:hAnsi="黑体" w:eastAsia="黑体" w:cs="黑体"/>
        </w:rPr>
        <w:t>跨界断面</w:t>
      </w:r>
      <w:r>
        <w:rPr>
          <w:rFonts w:hint="eastAsia"/>
        </w:rPr>
        <w:t>原则上设置在河段的行政区域交界位置，若交界位置不具备采样条件，监测断面优先选择在下游地区邻近交界处，监测断面与行政区域交界间应无排污口及支流汇入口，避免责任不清。对于同一行政区，跨界断面分为入境断面和出境断面2种，同一监测网中同一河流上游行政区的出境断面即为下游行政区的入境断面，不重复设置。</w:t>
      </w:r>
    </w:p>
    <w:p>
      <w:pPr>
        <w:pStyle w:val="168"/>
        <w:ind w:left="0"/>
      </w:pPr>
      <w:r>
        <w:rPr>
          <w:rFonts w:hint="eastAsia"/>
        </w:rPr>
        <w:t>跨界河段属左右岸交界的，</w:t>
      </w:r>
      <w:r>
        <w:rPr>
          <w:rFonts w:hint="eastAsia" w:ascii="黑体" w:hAnsi="黑体" w:eastAsia="黑体" w:cs="黑体"/>
        </w:rPr>
        <w:t>共界断面</w:t>
      </w:r>
      <w:r>
        <w:rPr>
          <w:rFonts w:hint="eastAsia"/>
        </w:rPr>
        <w:t>应设置在共有河段。</w:t>
      </w:r>
    </w:p>
    <w:p>
      <w:pPr>
        <w:pStyle w:val="168"/>
        <w:ind w:left="0"/>
      </w:pPr>
      <w:r>
        <w:rPr>
          <w:rFonts w:hint="eastAsia"/>
        </w:rPr>
        <w:t>在主要骨干河道的大型生活区、大型工业园区、开发区、对干流水质影响较大的支流汇入口、入河排污口的下游河段应设置</w:t>
      </w:r>
      <w:r>
        <w:rPr>
          <w:rFonts w:hint="eastAsia" w:ascii="黑体" w:hAnsi="黑体" w:eastAsia="黑体" w:cs="黑体"/>
        </w:rPr>
        <w:t>控制断面</w:t>
      </w:r>
      <w:r>
        <w:rPr>
          <w:rFonts w:hint="eastAsia"/>
        </w:rPr>
        <w:t>，反映污染物控制情况，监测断面应设置在污水或支流水体与干流水体基本混匀处。各控制断面所控制的纳污量不应小于河段总纳污量的80%。</w:t>
      </w:r>
    </w:p>
    <w:p>
      <w:pPr>
        <w:pStyle w:val="168"/>
        <w:ind w:left="0"/>
      </w:pPr>
      <w:r>
        <w:rPr>
          <w:rFonts w:hint="eastAsia" w:ascii="黑体" w:hAnsi="黑体" w:eastAsia="黑体" w:cs="黑体"/>
        </w:rPr>
        <w:t>河流型水功能区断面</w:t>
      </w:r>
      <w:r>
        <w:rPr>
          <w:rFonts w:hint="eastAsia"/>
        </w:rPr>
        <w:t>宜位于水功能区末端或下游。针对河流左右岸分别划定水功能区的情况，应在左右岸分别设置监测断面。</w:t>
      </w:r>
    </w:p>
    <w:p>
      <w:pPr>
        <w:pStyle w:val="168"/>
        <w:ind w:left="0"/>
      </w:pPr>
      <w:bookmarkStart w:id="101" w:name="_Hlk101447497"/>
      <w:r>
        <w:rPr>
          <w:rFonts w:hint="eastAsia"/>
        </w:rPr>
        <w:t>在重大战略规划及环境管理重点区域涉及的</w:t>
      </w:r>
      <w:r>
        <w:rPr>
          <w:rFonts w:hint="eastAsia" w:ascii="黑体" w:hAnsi="黑体" w:eastAsia="黑体" w:cs="黑体"/>
        </w:rPr>
        <w:t>重要水体主要支流</w:t>
      </w:r>
      <w:r>
        <w:rPr>
          <w:rFonts w:hint="eastAsia"/>
        </w:rPr>
        <w:t>上应设置监测断面，如主要入海河流、长江主要支流、国家和省级调水输水通道干线的主要支流、大型或跨界湖泊和水库的主要入湖河流等。</w:t>
      </w:r>
      <w:bookmarkEnd w:id="101"/>
      <w:bookmarkStart w:id="102" w:name="_Hlk101447523"/>
      <w:r>
        <w:rPr>
          <w:rFonts w:hint="eastAsia"/>
        </w:rPr>
        <w:t>监测断面应设置在能反映支流水质并临近入干流、入海、入湖的位置，有闸坝控制的支流监测断面应设置在闸坝近支流一侧，无闸坝控制的支流监测断面应设置在主要污染源下游且未与干流、海水、湖水混合处。</w:t>
      </w:r>
      <w:bookmarkEnd w:id="102"/>
    </w:p>
    <w:p>
      <w:pPr>
        <w:pStyle w:val="168"/>
        <w:ind w:left="0"/>
      </w:pPr>
      <w:r>
        <w:rPr>
          <w:rFonts w:hint="eastAsia"/>
        </w:rPr>
        <w:t>水网地区</w:t>
      </w:r>
      <w:r>
        <w:rPr>
          <w:rFonts w:hint="eastAsia" w:ascii="黑体" w:hAnsi="黑体" w:eastAsia="黑体" w:cs="黑体"/>
        </w:rPr>
        <w:t>流向不定的河流</w:t>
      </w:r>
      <w:r>
        <w:rPr>
          <w:rFonts w:hint="eastAsia"/>
        </w:rPr>
        <w:t>，原则上根据常年主导流向设置监测断面，无法确定常年主导流向的河道，则监测断面可设置在存在往复流情况河段的中间位置。</w:t>
      </w:r>
    </w:p>
    <w:p>
      <w:pPr>
        <w:pStyle w:val="182"/>
      </w:pPr>
      <w:r>
        <w:rPr>
          <w:rFonts w:hint="eastAsia"/>
        </w:rPr>
        <w:t>往复流是指受地形等自然条件或受调水等人为因素影响，水质点大致在一个水平方向做往复运动的潮流。</w:t>
      </w:r>
    </w:p>
    <w:p>
      <w:pPr>
        <w:pStyle w:val="168"/>
        <w:ind w:left="0"/>
      </w:pPr>
      <w:r>
        <w:rPr>
          <w:rFonts w:hint="eastAsia" w:ascii="黑体" w:hAnsi="黑体" w:eastAsia="黑体" w:cs="黑体"/>
        </w:rPr>
        <w:t>潮汐河流</w:t>
      </w:r>
      <w:r>
        <w:rPr>
          <w:rFonts w:hint="eastAsia"/>
        </w:rPr>
        <w:t>上处于感潮河段的监测断面位置宜与水文监测断面一致或接近，以便获得有关水文数据掌握涨平退潮周期。</w:t>
      </w:r>
      <w:bookmarkStart w:id="103" w:name="_Hlk101447666"/>
      <w:r>
        <w:rPr>
          <w:rFonts w:hint="eastAsia"/>
        </w:rPr>
        <w:t>设有防潮桥闸的潮汐河流，应在桥闸上游设置监测断面，根据需要可在桥闸下游补充设置监测断面。</w:t>
      </w:r>
      <w:bookmarkEnd w:id="103"/>
    </w:p>
    <w:p>
      <w:pPr>
        <w:pStyle w:val="108"/>
        <w:spacing w:before="156" w:after="156"/>
      </w:pPr>
      <w:bookmarkStart w:id="104" w:name="_Toc101390739"/>
      <w:bookmarkEnd w:id="104"/>
      <w:bookmarkStart w:id="105" w:name="_Toc101390502"/>
      <w:bookmarkEnd w:id="105"/>
      <w:bookmarkStart w:id="106" w:name="_Toc101390740"/>
      <w:bookmarkEnd w:id="106"/>
      <w:bookmarkStart w:id="107" w:name="_Toc101390738"/>
      <w:bookmarkEnd w:id="107"/>
      <w:bookmarkStart w:id="108" w:name="_Toc101390504"/>
      <w:bookmarkEnd w:id="108"/>
      <w:bookmarkStart w:id="109" w:name="_Toc101390503"/>
      <w:bookmarkEnd w:id="109"/>
      <w:bookmarkStart w:id="110" w:name="_Toc101390741"/>
      <w:bookmarkStart w:id="111" w:name="_Toc4849"/>
      <w:r>
        <w:rPr>
          <w:rFonts w:hint="eastAsia"/>
        </w:rPr>
        <w:t>湖库</w:t>
      </w:r>
      <w:bookmarkEnd w:id="110"/>
      <w:r>
        <w:rPr>
          <w:rFonts w:hint="eastAsia"/>
        </w:rPr>
        <w:t>点位</w:t>
      </w:r>
      <w:bookmarkEnd w:id="111"/>
    </w:p>
    <w:p>
      <w:pPr>
        <w:pStyle w:val="168"/>
        <w:ind w:left="0"/>
      </w:pPr>
      <w:bookmarkStart w:id="112" w:name="_Hlk101447844"/>
      <w:r>
        <w:rPr>
          <w:rFonts w:hint="eastAsia"/>
        </w:rPr>
        <w:t>湖泊和水库通常只在某些指定位置设置监测点位。受污染物影响较大的重要湖泊和水库，可在污染物主要输送路线上设置控制断面。</w:t>
      </w:r>
    </w:p>
    <w:p>
      <w:pPr>
        <w:pStyle w:val="168"/>
        <w:ind w:left="0"/>
      </w:pPr>
      <w:r>
        <w:rPr>
          <w:rFonts w:hint="eastAsia"/>
        </w:rPr>
        <w:t>湖泊和水库有明显功能分区时，可根据需要在不同功能分区分别设置监测点位，大型湖泊和水库的主要进水区可设置控制点位，监测点位应设置在混合区外。</w:t>
      </w:r>
    </w:p>
    <w:p>
      <w:pPr>
        <w:pStyle w:val="168"/>
        <w:ind w:left="0"/>
      </w:pPr>
      <w:r>
        <w:rPr>
          <w:rFonts w:hint="eastAsia"/>
        </w:rPr>
        <w:t>湖泊和水库无明显功能分区时，宜采用网格法均匀设置监测点位。省级监测网对水域面积100</w:t>
      </w:r>
      <w:r>
        <w:t xml:space="preserve"> km</w:t>
      </w:r>
      <w:r>
        <w:rPr>
          <w:vertAlign w:val="superscript"/>
        </w:rPr>
        <w:t>2</w:t>
      </w:r>
      <w:r>
        <w:rPr>
          <w:rFonts w:hint="eastAsia"/>
        </w:rPr>
        <w:t>以上的湖泊和水库按照10</w:t>
      </w:r>
      <w:r>
        <w:t xml:space="preserve"> km×10 </w:t>
      </w:r>
      <w:r>
        <w:rPr>
          <w:rFonts w:hint="eastAsia"/>
        </w:rPr>
        <w:t>km为一个网格，每个网格设置一个监测点位，水域面积100</w:t>
      </w:r>
      <w:r>
        <w:t xml:space="preserve"> km</w:t>
      </w:r>
      <w:r>
        <w:rPr>
          <w:vertAlign w:val="superscript"/>
        </w:rPr>
        <w:t>2</w:t>
      </w:r>
      <w:r>
        <w:rPr>
          <w:rFonts w:hint="eastAsia"/>
        </w:rPr>
        <w:t>以下的湖泊和水库原则上设置不少于一个监测点位；市级、县级监测网可加密监测网格设置监测点位。</w:t>
      </w:r>
    </w:p>
    <w:p>
      <w:pPr>
        <w:pStyle w:val="168"/>
        <w:ind w:left="0"/>
      </w:pPr>
      <w:r>
        <w:rPr>
          <w:rFonts w:hint="eastAsia"/>
          <w:highlight w:val="none"/>
        </w:rPr>
        <w:t>兼顾湖泊和水库的自然形态</w:t>
      </w:r>
      <w:r>
        <w:rPr>
          <w:rFonts w:hint="eastAsia"/>
        </w:rPr>
        <w:t>和</w:t>
      </w:r>
      <w:r>
        <w:rPr>
          <w:rFonts w:hint="eastAsia"/>
          <w:highlight w:val="none"/>
        </w:rPr>
        <w:t>湖湾分割情况，</w:t>
      </w:r>
      <w:r>
        <w:rPr>
          <w:rFonts w:hint="eastAsia"/>
        </w:rPr>
        <w:t>可根据需要在湖湾中心</w:t>
      </w:r>
      <w:r>
        <w:rPr>
          <w:rFonts w:hint="eastAsia"/>
          <w:highlight w:val="none"/>
        </w:rPr>
        <w:t>设置监测点位。</w:t>
      </w:r>
    </w:p>
    <w:p>
      <w:pPr>
        <w:pStyle w:val="168"/>
        <w:ind w:left="0"/>
      </w:pPr>
      <w:r>
        <w:rPr>
          <w:rFonts w:hint="eastAsia"/>
        </w:rPr>
        <w:t>大型跨界湖泊和水库应在相关行政区域所属水域分别设置点位；省级监测网在中型跨界湖泊和水库相关行政区域分界线附近设置共同监测点位，即为湖库跨界点位；市级、县级监测网可在中型跨界湖泊和水库相关行政区域所属水域分别设置监测点位。</w:t>
      </w:r>
    </w:p>
    <w:bookmarkEnd w:id="112"/>
    <w:p>
      <w:pPr>
        <w:pStyle w:val="107"/>
        <w:spacing w:before="312" w:after="312"/>
      </w:pPr>
      <w:bookmarkStart w:id="113" w:name="_Toc101390507"/>
      <w:bookmarkEnd w:id="113"/>
      <w:bookmarkStart w:id="114" w:name="_Toc101390747"/>
      <w:bookmarkEnd w:id="114"/>
      <w:bookmarkStart w:id="115" w:name="_Toc101390508"/>
      <w:bookmarkEnd w:id="115"/>
      <w:bookmarkStart w:id="116" w:name="_Toc101390742"/>
      <w:bookmarkEnd w:id="116"/>
      <w:bookmarkStart w:id="117" w:name="_Toc101390509"/>
      <w:bookmarkEnd w:id="117"/>
      <w:bookmarkStart w:id="118" w:name="_Toc101390745"/>
      <w:bookmarkEnd w:id="118"/>
      <w:bookmarkStart w:id="119" w:name="_Toc101390513"/>
      <w:bookmarkEnd w:id="119"/>
      <w:bookmarkStart w:id="120" w:name="_Toc101390743"/>
      <w:bookmarkEnd w:id="120"/>
      <w:bookmarkStart w:id="121" w:name="_Toc101390750"/>
      <w:bookmarkEnd w:id="121"/>
      <w:bookmarkStart w:id="122" w:name="_Toc101390510"/>
      <w:bookmarkEnd w:id="122"/>
      <w:bookmarkStart w:id="123" w:name="_Toc101390511"/>
      <w:bookmarkEnd w:id="123"/>
      <w:bookmarkStart w:id="124" w:name="_Toc101390749"/>
      <w:bookmarkEnd w:id="124"/>
      <w:bookmarkStart w:id="125" w:name="_Toc101390746"/>
      <w:bookmarkEnd w:id="125"/>
      <w:bookmarkStart w:id="126" w:name="_Toc101390514"/>
      <w:bookmarkEnd w:id="126"/>
      <w:bookmarkStart w:id="127" w:name="_Toc101390744"/>
      <w:bookmarkEnd w:id="127"/>
      <w:bookmarkStart w:id="128" w:name="_Toc16190"/>
      <w:bookmarkStart w:id="129" w:name="_Toc101390751"/>
      <w:r>
        <w:rPr>
          <w:rFonts w:hint="eastAsia"/>
        </w:rPr>
        <w:t>监测网断面设置程序与要求</w:t>
      </w:r>
      <w:bookmarkEnd w:id="128"/>
      <w:bookmarkEnd w:id="129"/>
    </w:p>
    <w:p>
      <w:pPr>
        <w:pStyle w:val="108"/>
        <w:spacing w:before="156" w:after="156"/>
      </w:pPr>
      <w:bookmarkStart w:id="130" w:name="_Toc101390752"/>
      <w:bookmarkStart w:id="131" w:name="_Toc7878"/>
      <w:r>
        <w:rPr>
          <w:rFonts w:hint="eastAsia"/>
        </w:rPr>
        <w:t>设置程序</w:t>
      </w:r>
      <w:bookmarkEnd w:id="130"/>
      <w:bookmarkEnd w:id="131"/>
    </w:p>
    <w:p>
      <w:pPr>
        <w:pStyle w:val="59"/>
        <w:ind w:left="210" w:leftChars="100" w:firstLine="420"/>
      </w:pPr>
      <w:bookmarkStart w:id="132" w:name="_Hlk101449365"/>
      <w:r>
        <w:rPr>
          <w:rFonts w:hint="eastAsia"/>
        </w:rPr>
        <w:t>根据社会经济发展、自然环境变化和生态环境管理需求，</w:t>
      </w:r>
      <w:r>
        <w:rPr>
          <w:rFonts w:hint="eastAsia"/>
          <w:highlight w:val="none"/>
        </w:rPr>
        <w:t>在充分保障监测网断面延续性的基础上，</w:t>
      </w:r>
      <w:r>
        <w:rPr>
          <w:rFonts w:hint="eastAsia"/>
        </w:rPr>
        <w:t>监测网应按照国民经济和社会发展规划周期进行优化调整，对监测断面进行重新设置，调整过程中监测断面设置技术流程符合图1的要求。</w:t>
      </w:r>
      <w:bookmarkEnd w:id="132"/>
    </w:p>
    <w:p>
      <w:pPr>
        <w:pStyle w:val="59"/>
        <w:ind w:firstLine="420"/>
      </w:pPr>
    </w:p>
    <w:p>
      <w:pPr>
        <w:pStyle w:val="59"/>
        <w:ind w:firstLine="0" w:firstLineChars="0"/>
        <w:jc w:val="center"/>
      </w:pPr>
      <w:r>
        <w:rPr>
          <w:rFonts w:hint="eastAsia" w:eastAsia="方正黑体_GBK"/>
          <w:lang w:eastAsia="zh-CN"/>
        </w:rPr>
        <w:drawing>
          <wp:inline distT="0" distB="0" distL="114300" distR="114300">
            <wp:extent cx="2251075" cy="4658360"/>
            <wp:effectExtent l="0" t="0" r="9525" b="2540"/>
            <wp:docPr id="19" name="图片 19" descr="PDH8Y[I99TFQYKO}U)``@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PDH8Y[I99TFQYKO}U)``@19"/>
                    <pic:cNvPicPr>
                      <a:picLocks noChangeAspect="1"/>
                    </pic:cNvPicPr>
                  </pic:nvPicPr>
                  <pic:blipFill>
                    <a:blip r:embed="rId26"/>
                    <a:srcRect l="15450" t="3703" r="15208" b="4067"/>
                    <a:stretch>
                      <a:fillRect/>
                    </a:stretch>
                  </pic:blipFill>
                  <pic:spPr>
                    <a:xfrm>
                      <a:off x="0" y="0"/>
                      <a:ext cx="2251075" cy="4658360"/>
                    </a:xfrm>
                    <a:prstGeom prst="rect">
                      <a:avLst/>
                    </a:prstGeom>
                  </pic:spPr>
                </pic:pic>
              </a:graphicData>
            </a:graphic>
          </wp:inline>
        </w:drawing>
      </w:r>
    </w:p>
    <w:p>
      <w:pPr>
        <w:pStyle w:val="117"/>
        <w:spacing w:before="156" w:after="156"/>
        <w:rPr>
          <w:highlight w:val="none"/>
        </w:rPr>
      </w:pPr>
      <w:r>
        <w:rPr>
          <w:rFonts w:hint="eastAsia"/>
          <w:highlight w:val="none"/>
        </w:rPr>
        <w:t>地表水环境质量监测网断面设置技术流程</w:t>
      </w:r>
    </w:p>
    <w:p>
      <w:pPr>
        <w:pStyle w:val="108"/>
        <w:spacing w:before="156" w:after="156"/>
      </w:pPr>
      <w:bookmarkStart w:id="133" w:name="_Toc26196"/>
      <w:bookmarkStart w:id="134" w:name="_Toc101390753"/>
      <w:r>
        <w:rPr>
          <w:rFonts w:hint="eastAsia"/>
        </w:rPr>
        <w:t>技术要求</w:t>
      </w:r>
      <w:bookmarkEnd w:id="133"/>
      <w:bookmarkEnd w:id="134"/>
    </w:p>
    <w:p>
      <w:pPr>
        <w:pStyle w:val="68"/>
        <w:spacing w:before="156" w:after="156"/>
      </w:pPr>
      <w:bookmarkStart w:id="135" w:name="_Toc101390754"/>
      <w:bookmarkStart w:id="136" w:name="_Toc25322"/>
      <w:r>
        <w:rPr>
          <w:rFonts w:hint="eastAsia"/>
        </w:rPr>
        <w:t>基础资料收集与分析</w:t>
      </w:r>
      <w:bookmarkEnd w:id="135"/>
      <w:bookmarkEnd w:id="136"/>
    </w:p>
    <w:p>
      <w:pPr>
        <w:pStyle w:val="97"/>
        <w:spacing w:before="156" w:after="156"/>
      </w:pPr>
      <w:r>
        <w:rPr>
          <w:rFonts w:hint="eastAsia"/>
        </w:rPr>
        <w:t>自然社会状况</w:t>
      </w:r>
    </w:p>
    <w:p>
      <w:pPr>
        <w:pStyle w:val="59"/>
        <w:ind w:firstLine="420"/>
      </w:pPr>
      <w:r>
        <w:rPr>
          <w:rFonts w:hint="eastAsia"/>
        </w:rPr>
        <w:t>应包括但不限于以下信息：现行行政区划、产业布局、道路网络等文件资料和矢量数据，行政区域内自然状况、社会经济发展状况。</w:t>
      </w:r>
    </w:p>
    <w:p>
      <w:pPr>
        <w:pStyle w:val="97"/>
        <w:spacing w:before="156" w:after="156"/>
      </w:pPr>
      <w:r>
        <w:rPr>
          <w:rFonts w:hint="eastAsia"/>
        </w:rPr>
        <w:t>水文气象状况</w:t>
      </w:r>
    </w:p>
    <w:p>
      <w:pPr>
        <w:pStyle w:val="59"/>
        <w:ind w:firstLine="420"/>
      </w:pPr>
      <w:r>
        <w:rPr>
          <w:rFonts w:hint="eastAsia"/>
        </w:rPr>
        <w:t>宜包括但不限于以下信息：行政区域内水文水利和气象资料，各类水体的规模、等级、汇流关系和所在地区等基础信息，水系分布的文件资料和矢量数据。</w:t>
      </w:r>
    </w:p>
    <w:p>
      <w:pPr>
        <w:pStyle w:val="97"/>
        <w:spacing w:before="156" w:after="156"/>
      </w:pPr>
      <w:r>
        <w:rPr>
          <w:rFonts w:hint="eastAsia"/>
        </w:rPr>
        <w:t>现有地表水环境质量监测网断面信息</w:t>
      </w:r>
    </w:p>
    <w:p>
      <w:pPr>
        <w:pStyle w:val="59"/>
        <w:ind w:firstLine="420"/>
      </w:pPr>
      <w:r>
        <w:rPr>
          <w:rFonts w:hint="eastAsia"/>
        </w:rPr>
        <w:t>应包括但不限于以下信息：现有地表水环境质量监测网断面的位置信息、管理属性信息，近四年水质、水生态变化情况。分析是否存在因城市布局、水系变化等客观原因，监测断面失去原有代表性情况。</w:t>
      </w:r>
    </w:p>
    <w:p>
      <w:pPr>
        <w:pStyle w:val="97"/>
        <w:spacing w:before="156" w:after="156"/>
      </w:pPr>
      <w:r>
        <w:rPr>
          <w:rFonts w:hint="eastAsia"/>
        </w:rPr>
        <w:t>现有水功能区代表断面信息</w:t>
      </w:r>
    </w:p>
    <w:p>
      <w:pPr>
        <w:pStyle w:val="59"/>
        <w:ind w:firstLine="420"/>
      </w:pPr>
      <w:r>
        <w:rPr>
          <w:rFonts w:hint="eastAsia"/>
        </w:rPr>
        <w:t>应包括但不限于以下信息：国家及省级水功能区划空间信息、原监测断面位置信息和监测数据。分析近四年水质变化情况，识别水质目标与现状水质（全指标年均值评价）均相同的相邻水功能区。</w:t>
      </w:r>
    </w:p>
    <w:p>
      <w:pPr>
        <w:pStyle w:val="68"/>
        <w:spacing w:before="156" w:after="156"/>
      </w:pPr>
      <w:bookmarkStart w:id="137" w:name="_Toc8793"/>
      <w:bookmarkStart w:id="138" w:name="_Toc101390755"/>
      <w:r>
        <w:rPr>
          <w:rFonts w:hint="eastAsia"/>
        </w:rPr>
        <w:t>断面初步设置</w:t>
      </w:r>
      <w:bookmarkEnd w:id="137"/>
      <w:bookmarkEnd w:id="138"/>
    </w:p>
    <w:p>
      <w:pPr>
        <w:pStyle w:val="59"/>
        <w:ind w:firstLine="420"/>
      </w:pPr>
      <w:r>
        <w:rPr>
          <w:rFonts w:hint="eastAsia"/>
        </w:rPr>
        <w:t>以原有本级监测网断面为基础，根据下一规划周期本地生态环境管理需求，按照监测网断面设置原则和设置要求，通过以下五个步骤设置监测断面，形成初步监测网断面清单。</w:t>
      </w:r>
    </w:p>
    <w:p>
      <w:pPr>
        <w:pStyle w:val="177"/>
        <w:numPr>
          <w:ilvl w:val="0"/>
          <w:numId w:val="33"/>
        </w:numPr>
      </w:pPr>
      <w:r>
        <w:rPr>
          <w:rFonts w:hint="eastAsia" w:ascii="黑体" w:hAnsi="黑体" w:eastAsia="黑体"/>
        </w:rPr>
        <w:t>纳入</w:t>
      </w:r>
      <w:r>
        <w:rPr>
          <w:rFonts w:hint="eastAsia"/>
        </w:rPr>
        <w:t>下一规划周期上级监测网中符合以下条件之一的监测断面：</w:t>
      </w:r>
    </w:p>
    <w:p>
      <w:pPr>
        <w:pStyle w:val="112"/>
        <w:numPr>
          <w:ilvl w:val="1"/>
          <w:numId w:val="34"/>
        </w:numPr>
      </w:pPr>
      <w:r>
        <w:rPr>
          <w:rFonts w:hint="eastAsia"/>
        </w:rPr>
        <w:t>确定考核责任为本行政区的监测断面；</w:t>
      </w:r>
    </w:p>
    <w:p>
      <w:pPr>
        <w:pStyle w:val="112"/>
        <w:numPr>
          <w:ilvl w:val="1"/>
          <w:numId w:val="34"/>
        </w:numPr>
      </w:pPr>
      <w:r>
        <w:rPr>
          <w:rFonts w:hint="eastAsia"/>
        </w:rPr>
        <w:t>确定本行政区与其他行政区共同责任的监测断面；</w:t>
      </w:r>
    </w:p>
    <w:p>
      <w:pPr>
        <w:pStyle w:val="112"/>
        <w:numPr>
          <w:ilvl w:val="1"/>
          <w:numId w:val="34"/>
        </w:numPr>
      </w:pPr>
      <w:r>
        <w:rPr>
          <w:rFonts w:hint="eastAsia"/>
        </w:rPr>
        <w:t>其他行政区入境本行政区的监测断面。</w:t>
      </w:r>
    </w:p>
    <w:p>
      <w:pPr>
        <w:pStyle w:val="177"/>
        <w:numPr>
          <w:ilvl w:val="0"/>
          <w:numId w:val="34"/>
        </w:numPr>
      </w:pPr>
      <w:r>
        <w:rPr>
          <w:rFonts w:hint="eastAsia" w:ascii="黑体" w:hAnsi="黑体" w:eastAsia="黑体"/>
        </w:rPr>
        <w:t>删除</w:t>
      </w:r>
      <w:r>
        <w:rPr>
          <w:rFonts w:hint="eastAsia"/>
        </w:rPr>
        <w:t>原有本级监测网中符合以下条件之一的监测断面：</w:t>
      </w:r>
    </w:p>
    <w:p>
      <w:pPr>
        <w:pStyle w:val="112"/>
        <w:numPr>
          <w:ilvl w:val="1"/>
          <w:numId w:val="34"/>
        </w:numPr>
      </w:pPr>
      <w:r>
        <w:rPr>
          <w:rFonts w:hint="eastAsia"/>
        </w:rPr>
        <w:t>与上级监测网断面中设置重复；</w:t>
      </w:r>
    </w:p>
    <w:p>
      <w:pPr>
        <w:pStyle w:val="112"/>
        <w:numPr>
          <w:ilvl w:val="1"/>
          <w:numId w:val="34"/>
        </w:numPr>
      </w:pPr>
      <w:r>
        <w:rPr>
          <w:rFonts w:hint="eastAsia"/>
        </w:rPr>
        <w:t>存在明显不合理；</w:t>
      </w:r>
    </w:p>
    <w:p>
      <w:pPr>
        <w:pStyle w:val="112"/>
        <w:numPr>
          <w:ilvl w:val="1"/>
          <w:numId w:val="34"/>
        </w:numPr>
      </w:pPr>
      <w:r>
        <w:rPr>
          <w:rFonts w:hint="eastAsia"/>
        </w:rPr>
        <w:t>代表性丧失或削弱；</w:t>
      </w:r>
    </w:p>
    <w:p>
      <w:pPr>
        <w:pStyle w:val="112"/>
        <w:numPr>
          <w:ilvl w:val="1"/>
          <w:numId w:val="34"/>
        </w:numPr>
      </w:pPr>
      <w:r>
        <w:rPr>
          <w:rFonts w:hint="eastAsia"/>
        </w:rPr>
        <w:t>失去原有监控功能；</w:t>
      </w:r>
    </w:p>
    <w:p>
      <w:pPr>
        <w:pStyle w:val="112"/>
        <w:numPr>
          <w:ilvl w:val="1"/>
          <w:numId w:val="34"/>
        </w:numPr>
      </w:pPr>
      <w:r>
        <w:rPr>
          <w:rFonts w:hint="eastAsia"/>
        </w:rPr>
        <w:t>不符合本级监测网下阶段设置原则或设置要求；</w:t>
      </w:r>
    </w:p>
    <w:p>
      <w:pPr>
        <w:pStyle w:val="112"/>
        <w:numPr>
          <w:ilvl w:val="1"/>
          <w:numId w:val="34"/>
        </w:numPr>
      </w:pPr>
      <w:r>
        <w:rPr>
          <w:rFonts w:hint="eastAsia"/>
        </w:rPr>
        <w:t>其他需要删除监测断面的特殊情况。</w:t>
      </w:r>
    </w:p>
    <w:p>
      <w:pPr>
        <w:pStyle w:val="177"/>
        <w:numPr>
          <w:ilvl w:val="0"/>
          <w:numId w:val="34"/>
        </w:numPr>
      </w:pPr>
      <w:r>
        <w:rPr>
          <w:rFonts w:hint="eastAsia" w:ascii="黑体" w:hAnsi="黑体" w:eastAsia="黑体"/>
        </w:rPr>
        <w:t>保留</w:t>
      </w:r>
      <w:r>
        <w:rPr>
          <w:rFonts w:hint="eastAsia"/>
        </w:rPr>
        <w:t>原有本级监测网中满足下一规划周期本地生态环境管理需求且符合本级监测网断面设置原则和设置要求的监测断面。</w:t>
      </w:r>
    </w:p>
    <w:p>
      <w:pPr>
        <w:pStyle w:val="177"/>
        <w:numPr>
          <w:ilvl w:val="0"/>
          <w:numId w:val="34"/>
        </w:numPr>
      </w:pPr>
      <w:r>
        <w:rPr>
          <w:rFonts w:hint="eastAsia" w:ascii="黑体" w:hAnsi="黑体" w:eastAsia="黑体"/>
        </w:rPr>
        <w:t>调整</w:t>
      </w:r>
      <w:r>
        <w:rPr>
          <w:rFonts w:hint="eastAsia"/>
        </w:rPr>
        <w:t>原有本级监测网中满足下一规划周期本地生态环境管理需求且符合本级监测网断面设置原则，但位置不符合断面设置要求的监测断面，应将监测断面位置调整至符合设置要求处，原监测断面管理属性一般不发生变化。国家监测网断面在省、市、县级监测网中不做调整。</w:t>
      </w:r>
    </w:p>
    <w:p>
      <w:pPr>
        <w:pStyle w:val="177"/>
        <w:numPr>
          <w:ilvl w:val="0"/>
          <w:numId w:val="34"/>
        </w:numPr>
      </w:pPr>
      <w:r>
        <w:rPr>
          <w:rFonts w:hint="eastAsia" w:ascii="黑体" w:hAnsi="黑体" w:eastAsia="黑体"/>
        </w:rPr>
        <w:t>新增</w:t>
      </w:r>
      <w:r>
        <w:rPr>
          <w:rFonts w:hint="eastAsia"/>
        </w:rPr>
        <w:t>原有本级监测网和下一规划周期上级监测网未覆盖</w:t>
      </w:r>
      <w:r>
        <w:t>,</w:t>
      </w:r>
      <w:r>
        <w:rPr>
          <w:rFonts w:hint="eastAsia"/>
        </w:rPr>
        <w:t>但下一规划周期本地生态环境管理需要开展监测的监测断面。优先选择符合本级监测网设置原则和设置要求的下级监测网断面、原水功能区监测断面，在无合适历史监测断面的情况下应新设监测断面。</w:t>
      </w:r>
    </w:p>
    <w:p>
      <w:pPr>
        <w:pStyle w:val="68"/>
        <w:spacing w:before="156" w:after="156"/>
      </w:pPr>
      <w:bookmarkStart w:id="139" w:name="_Toc101390756"/>
      <w:bookmarkStart w:id="140" w:name="_Toc30627"/>
      <w:r>
        <w:rPr>
          <w:rFonts w:hint="eastAsia"/>
        </w:rPr>
        <w:t>现场勘查与论证</w:t>
      </w:r>
      <w:bookmarkEnd w:id="139"/>
      <w:bookmarkEnd w:id="140"/>
    </w:p>
    <w:p>
      <w:pPr>
        <w:pStyle w:val="59"/>
        <w:ind w:firstLine="420"/>
      </w:pPr>
      <w:r>
        <w:rPr>
          <w:rFonts w:hint="eastAsia"/>
        </w:rPr>
        <w:t>根据初步设置监测网断面清单组织开展现场勘查，勘查内容应包括但不限于以下信息：初步设置监测断面矢量图、各监测断面的现场采样条件、交通条件、水系汇流关系、支流汇入位置、污染源分布、行政区交界情况。</w:t>
      </w:r>
    </w:p>
    <w:p>
      <w:pPr>
        <w:pStyle w:val="59"/>
        <w:ind w:firstLine="420"/>
      </w:pPr>
      <w:r>
        <w:rPr>
          <w:rFonts w:hint="eastAsia"/>
        </w:rPr>
        <w:t>根据勘查情况和反馈意见，组织专家组开展评审论证。论证内容应包括但不限于以下信息：各监测断面实际情况是否符合本级监测网的设置原则和设置要求，申请调整监测断面的必要性和合理性。根据论证结果整理修改监测网断面清单。</w:t>
      </w:r>
    </w:p>
    <w:p>
      <w:pPr>
        <w:pStyle w:val="68"/>
        <w:spacing w:before="156" w:after="156"/>
      </w:pPr>
      <w:bookmarkStart w:id="141" w:name="_Toc101390757"/>
      <w:bookmarkStart w:id="142" w:name="_Toc25456"/>
      <w:r>
        <w:rPr>
          <w:rFonts w:hint="eastAsia"/>
        </w:rPr>
        <w:t>完善断面信息清单</w:t>
      </w:r>
      <w:bookmarkEnd w:id="141"/>
      <w:bookmarkEnd w:id="142"/>
    </w:p>
    <w:p>
      <w:pPr>
        <w:pStyle w:val="97"/>
        <w:spacing w:before="156" w:after="156"/>
      </w:pPr>
      <w:r>
        <w:rPr>
          <w:rFonts w:hint="eastAsia"/>
        </w:rPr>
        <w:t>断面基础信息</w:t>
      </w:r>
    </w:p>
    <w:p>
      <w:pPr>
        <w:pStyle w:val="59"/>
        <w:ind w:firstLine="420"/>
      </w:pPr>
      <w:r>
        <w:rPr>
          <w:rFonts w:hint="eastAsia"/>
        </w:rPr>
        <w:t>应包括但不限于以下信息：监测断面名称、所在水体、水体类型、水体级别、所在流域、汇入水体、水质现状、监测断面来源。</w:t>
      </w:r>
    </w:p>
    <w:p>
      <w:pPr>
        <w:pStyle w:val="97"/>
        <w:spacing w:before="156" w:after="156"/>
      </w:pPr>
      <w:r>
        <w:rPr>
          <w:rFonts w:hint="eastAsia"/>
        </w:rPr>
        <w:t>地理位置信息</w:t>
      </w:r>
    </w:p>
    <w:p>
      <w:pPr>
        <w:pStyle w:val="59"/>
        <w:ind w:firstLine="420"/>
      </w:pPr>
      <w:r>
        <w:rPr>
          <w:rFonts w:hint="eastAsia"/>
        </w:rPr>
        <w:t>应包括但不限于以下信息：经纬度、所在行政区、责任行政区、跨界类型。</w:t>
      </w:r>
    </w:p>
    <w:p>
      <w:pPr>
        <w:pStyle w:val="97"/>
        <w:spacing w:before="156" w:after="156"/>
      </w:pPr>
      <w:r>
        <w:rPr>
          <w:rFonts w:hint="eastAsia"/>
        </w:rPr>
        <w:t>断面管理信息</w:t>
      </w:r>
    </w:p>
    <w:p>
      <w:pPr>
        <w:pStyle w:val="59"/>
        <w:ind w:firstLine="420"/>
      </w:pPr>
      <w:r>
        <w:rPr>
          <w:rFonts w:hint="eastAsia"/>
        </w:rPr>
        <w:t>应包括但不限于以下分类信息：长江干流控制断面、长江主要支流控制断面、长江及重要支流水生态断面、入海河流控制断面、南水北调控制断面、通榆河沿线控制断面、太湖入湖河流控制断面、洪泽湖入湖河流控制断面、南四湖入湖河流控制断面、高邮湖入湖河流控制断面、骆马湖入湖河流控制断面。</w:t>
      </w:r>
    </w:p>
    <w:p>
      <w:pPr>
        <w:pStyle w:val="97"/>
        <w:spacing w:before="156" w:after="156"/>
      </w:pPr>
      <w:r>
        <w:rPr>
          <w:rFonts w:hint="eastAsia"/>
        </w:rPr>
        <w:t>对应水功能区信息</w:t>
      </w:r>
    </w:p>
    <w:p>
      <w:pPr>
        <w:pStyle w:val="59"/>
        <w:ind w:firstLine="420"/>
        <w:rPr>
          <w:highlight w:val="none"/>
        </w:rPr>
      </w:pPr>
      <w:r>
        <w:rPr>
          <w:rFonts w:hint="eastAsia"/>
        </w:rPr>
        <w:t>应包括但不限于以下信息：所在水功能区的</w:t>
      </w:r>
      <w:r>
        <w:rPr>
          <w:rFonts w:hint="eastAsia"/>
          <w:highlight w:val="none"/>
        </w:rPr>
        <w:t>名称，代表水功能区的名称（一个监测断面代表多个水功能区水质的情况填写）。</w:t>
      </w:r>
    </w:p>
    <w:p>
      <w:pPr>
        <w:pStyle w:val="68"/>
        <w:spacing w:before="156" w:after="156"/>
        <w:rPr>
          <w:highlight w:val="none"/>
        </w:rPr>
      </w:pPr>
      <w:bookmarkStart w:id="143" w:name="_Toc10680"/>
      <w:bookmarkStart w:id="144" w:name="_Toc101390758"/>
      <w:r>
        <w:rPr>
          <w:rFonts w:hint="eastAsia"/>
          <w:highlight w:val="none"/>
        </w:rPr>
        <w:t>建立</w:t>
      </w:r>
      <w:r>
        <w:rPr>
          <w:rFonts w:hint="eastAsia"/>
          <w:highlight w:val="none"/>
        </w:rPr>
        <w:t>断面</w:t>
      </w:r>
      <w:r>
        <w:rPr>
          <w:rFonts w:hint="eastAsia"/>
          <w:highlight w:val="none"/>
        </w:rPr>
        <w:t>信息</w:t>
      </w:r>
      <w:r>
        <w:rPr>
          <w:rFonts w:hint="eastAsia"/>
          <w:highlight w:val="none"/>
        </w:rPr>
        <w:t>库</w:t>
      </w:r>
      <w:bookmarkEnd w:id="143"/>
      <w:bookmarkEnd w:id="144"/>
    </w:p>
    <w:p>
      <w:pPr>
        <w:pStyle w:val="167"/>
        <w:rPr>
          <w:highlight w:val="none"/>
        </w:rPr>
      </w:pPr>
      <w:r>
        <w:rPr>
          <w:rFonts w:hint="eastAsia"/>
          <w:highlight w:val="none"/>
        </w:rPr>
        <w:t>监测网断面清单正式发布后，应采用遥感影像和现场勘查相结合的方式，对监测断面及对应水质自动监测站（以下简称水站）进行逐一信息核定，确保监测断面及对应水站地理信息与实际位置一一对应。</w:t>
      </w:r>
    </w:p>
    <w:p>
      <w:pPr>
        <w:pStyle w:val="167"/>
        <w:rPr>
          <w:highlight w:val="none"/>
        </w:rPr>
      </w:pPr>
      <w:bookmarkStart w:id="145" w:name="BookMark5"/>
      <w:r>
        <w:rPr>
          <w:rFonts w:hint="eastAsia"/>
          <w:highlight w:val="none"/>
        </w:rPr>
        <w:t>建立监测网断面信息库，入库信息除7</w:t>
      </w:r>
      <w:r>
        <w:rPr>
          <w:highlight w:val="none"/>
        </w:rPr>
        <w:t>.2.4</w:t>
      </w:r>
      <w:r>
        <w:rPr>
          <w:rFonts w:hint="eastAsia"/>
          <w:highlight w:val="none"/>
        </w:rPr>
        <w:t>中相关信息外，还应核定补充以下信息：</w:t>
      </w:r>
    </w:p>
    <w:p>
      <w:pPr>
        <w:pStyle w:val="177"/>
        <w:numPr>
          <w:ilvl w:val="0"/>
          <w:numId w:val="35"/>
        </w:numPr>
        <w:rPr>
          <w:highlight w:val="none"/>
        </w:rPr>
      </w:pPr>
      <w:r>
        <w:rPr>
          <w:rFonts w:hint="eastAsia" w:ascii="黑体" w:hAnsi="黑体" w:eastAsia="黑体"/>
          <w:highlight w:val="none"/>
        </w:rPr>
        <w:t>对应水站信息</w:t>
      </w:r>
      <w:r>
        <w:rPr>
          <w:rFonts w:hint="eastAsia"/>
          <w:highlight w:val="none"/>
        </w:rPr>
        <w:t>。应包括但不限于以下信息：监测断面对应水站的名称、经纬度、所在行政区、与监测断面的位置关系、监测指标、仪器配备情况等；</w:t>
      </w:r>
    </w:p>
    <w:p>
      <w:pPr>
        <w:pStyle w:val="177"/>
        <w:numPr>
          <w:ilvl w:val="0"/>
          <w:numId w:val="34"/>
        </w:numPr>
        <w:rPr>
          <w:highlight w:val="none"/>
        </w:rPr>
      </w:pPr>
      <w:r>
        <w:rPr>
          <w:rFonts w:hint="eastAsia" w:ascii="黑体" w:hAnsi="黑体" w:eastAsia="黑体"/>
          <w:highlight w:val="none"/>
        </w:rPr>
        <w:t>周边影像信息</w:t>
      </w:r>
      <w:r>
        <w:rPr>
          <w:rFonts w:hint="eastAsia"/>
          <w:highlight w:val="none"/>
        </w:rPr>
        <w:t>。应包括但不限于以下信息：能反映监测断面及对应水站所在位置经纬度、相应标识、上下游、左右岸、周边主要污染源等的遥感影像和现场照片；</w:t>
      </w:r>
    </w:p>
    <w:p>
      <w:pPr>
        <w:pStyle w:val="177"/>
        <w:numPr>
          <w:ilvl w:val="0"/>
          <w:numId w:val="34"/>
        </w:numPr>
        <w:rPr>
          <w:highlight w:val="none"/>
        </w:rPr>
      </w:pPr>
      <w:r>
        <w:rPr>
          <w:rFonts w:hint="eastAsia" w:ascii="黑体" w:hAnsi="黑体" w:eastAsia="黑体"/>
          <w:highlight w:val="none"/>
        </w:rPr>
        <w:t>水文及航运信息</w:t>
      </w:r>
      <w:r>
        <w:rPr>
          <w:rFonts w:hint="eastAsia"/>
          <w:highlight w:val="none"/>
        </w:rPr>
        <w:t>。宜包括但不限于以下信息：监测断面所在水体流向、周边支流汇入/流出情况、附近水文水动力资料、闸控信息、航运情况等。</w:t>
      </w:r>
    </w:p>
    <w:bookmarkEnd w:id="145"/>
    <w:p>
      <w:pPr>
        <w:widowControl/>
        <w:adjustRightInd/>
        <w:spacing w:line="240" w:lineRule="auto"/>
        <w:jc w:val="left"/>
        <w:rPr>
          <w:rFonts w:ascii="宋体" w:hAnsi="Times New Roman"/>
          <w:kern w:val="0"/>
          <w:szCs w:val="20"/>
          <w:highlight w:val="none"/>
        </w:rPr>
      </w:pPr>
      <w:bookmarkStart w:id="146" w:name="BookMark6"/>
      <w:r>
        <w:rPr>
          <w:highlight w:val="none"/>
        </w:rPr>
        <w:br w:type="page"/>
      </w:r>
    </w:p>
    <w:p>
      <w:pPr>
        <w:pStyle w:val="79"/>
        <w:spacing w:before="78" w:after="156"/>
        <w:ind w:firstLine="420"/>
        <w:rPr>
          <w:highlight w:val="none"/>
        </w:rPr>
      </w:pPr>
    </w:p>
    <w:p>
      <w:pPr>
        <w:pStyle w:val="173"/>
        <w:spacing w:before="78" w:after="156"/>
        <w:ind w:firstLine="420"/>
        <w:rPr>
          <w:highlight w:val="none"/>
        </w:rPr>
      </w:pPr>
      <w:r>
        <w:rPr>
          <w:rFonts w:hint="eastAsia"/>
          <w:highlight w:val="none"/>
        </w:rPr>
        <w:t>（资料性）</w:t>
      </w:r>
    </w:p>
    <w:p>
      <w:pPr>
        <w:pStyle w:val="173"/>
        <w:spacing w:before="78" w:after="156"/>
        <w:ind w:firstLine="420"/>
        <w:rPr>
          <w:highlight w:val="none"/>
        </w:rPr>
      </w:pPr>
      <w:r>
        <w:rPr>
          <w:rFonts w:hint="eastAsia"/>
          <w:highlight w:val="none"/>
        </w:rPr>
        <w:t>监测网断面信息清单示例</w:t>
      </w:r>
    </w:p>
    <w:p>
      <w:pPr>
        <w:pStyle w:val="59"/>
        <w:ind w:firstLine="420"/>
        <w:rPr>
          <w:highlight w:val="none"/>
        </w:rPr>
      </w:pPr>
      <w:r>
        <w:rPr>
          <w:rFonts w:hint="eastAsia"/>
          <w:highlight w:val="none"/>
        </w:rPr>
        <w:t>表A.1给出了监测网断面信息清单的示例。</w:t>
      </w:r>
    </w:p>
    <w:p>
      <w:pPr>
        <w:pStyle w:val="80"/>
        <w:spacing w:before="156" w:after="156"/>
        <w:ind w:firstLine="420"/>
        <w:rPr>
          <w:highlight w:val="none"/>
        </w:rPr>
      </w:pPr>
      <w:r>
        <w:rPr>
          <w:rFonts w:hint="eastAsia"/>
          <w:highlight w:val="none"/>
        </w:rPr>
        <w:t>监测网断面信息清单示例</w:t>
      </w:r>
    </w:p>
    <w:tbl>
      <w:tblPr>
        <w:tblStyle w:val="29"/>
        <w:tblW w:w="493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
        <w:gridCol w:w="461"/>
        <w:gridCol w:w="462"/>
        <w:gridCol w:w="464"/>
        <w:gridCol w:w="464"/>
        <w:gridCol w:w="464"/>
        <w:gridCol w:w="464"/>
        <w:gridCol w:w="464"/>
        <w:gridCol w:w="940"/>
        <w:gridCol w:w="851"/>
        <w:gridCol w:w="464"/>
        <w:gridCol w:w="464"/>
        <w:gridCol w:w="577"/>
        <w:gridCol w:w="817"/>
        <w:gridCol w:w="81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vAlign w:val="center"/>
          </w:tcPr>
          <w:p>
            <w:pPr>
              <w:pStyle w:val="59"/>
              <w:ind w:firstLine="0" w:firstLineChars="0"/>
              <w:jc w:val="center"/>
              <w:rPr>
                <w:sz w:val="18"/>
                <w:szCs w:val="18"/>
                <w:highlight w:val="none"/>
              </w:rPr>
            </w:pPr>
            <w:r>
              <w:rPr>
                <w:rFonts w:hint="eastAsia"/>
                <w:sz w:val="18"/>
                <w:szCs w:val="18"/>
                <w:highlight w:val="none"/>
              </w:rPr>
              <w:t>断面</w:t>
            </w:r>
          </w:p>
          <w:p>
            <w:pPr>
              <w:pStyle w:val="59"/>
              <w:ind w:firstLine="0" w:firstLineChars="0"/>
              <w:jc w:val="center"/>
              <w:rPr>
                <w:sz w:val="18"/>
                <w:szCs w:val="18"/>
                <w:highlight w:val="none"/>
              </w:rPr>
            </w:pPr>
            <w:r>
              <w:rPr>
                <w:rFonts w:hint="eastAsia"/>
                <w:sz w:val="18"/>
                <w:szCs w:val="18"/>
                <w:highlight w:val="none"/>
              </w:rPr>
              <w:t>名称</w:t>
            </w:r>
          </w:p>
        </w:tc>
        <w:tc>
          <w:tcPr>
            <w:tcW w:w="244" w:type="pct"/>
            <w:vAlign w:val="center"/>
          </w:tcPr>
          <w:p>
            <w:pPr>
              <w:pStyle w:val="59"/>
              <w:ind w:firstLine="0" w:firstLineChars="0"/>
              <w:jc w:val="center"/>
              <w:rPr>
                <w:sz w:val="18"/>
                <w:szCs w:val="18"/>
                <w:highlight w:val="none"/>
              </w:rPr>
            </w:pPr>
            <w:r>
              <w:rPr>
                <w:rFonts w:hint="eastAsia"/>
                <w:sz w:val="18"/>
                <w:szCs w:val="18"/>
                <w:highlight w:val="none"/>
              </w:rPr>
              <w:t>所在</w:t>
            </w:r>
          </w:p>
          <w:p>
            <w:pPr>
              <w:pStyle w:val="59"/>
              <w:ind w:firstLine="0" w:firstLineChars="0"/>
              <w:jc w:val="center"/>
              <w:rPr>
                <w:sz w:val="18"/>
                <w:szCs w:val="18"/>
                <w:highlight w:val="none"/>
              </w:rPr>
            </w:pPr>
            <w:r>
              <w:rPr>
                <w:rFonts w:hint="eastAsia"/>
                <w:sz w:val="18"/>
                <w:szCs w:val="18"/>
                <w:highlight w:val="none"/>
              </w:rPr>
              <w:t>水体</w:t>
            </w:r>
          </w:p>
        </w:tc>
        <w:tc>
          <w:tcPr>
            <w:tcW w:w="244" w:type="pct"/>
            <w:vAlign w:val="center"/>
          </w:tcPr>
          <w:p>
            <w:pPr>
              <w:pStyle w:val="59"/>
              <w:ind w:firstLine="0" w:firstLineChars="0"/>
              <w:jc w:val="center"/>
              <w:rPr>
                <w:sz w:val="18"/>
                <w:szCs w:val="18"/>
                <w:highlight w:val="none"/>
              </w:rPr>
            </w:pPr>
            <w:r>
              <w:rPr>
                <w:rFonts w:hint="eastAsia"/>
                <w:sz w:val="18"/>
                <w:szCs w:val="18"/>
                <w:highlight w:val="none"/>
              </w:rPr>
              <w:t>水体</w:t>
            </w:r>
          </w:p>
          <w:p>
            <w:pPr>
              <w:pStyle w:val="59"/>
              <w:ind w:firstLine="0" w:firstLineChars="0"/>
              <w:jc w:val="center"/>
              <w:rPr>
                <w:sz w:val="18"/>
                <w:szCs w:val="18"/>
                <w:highlight w:val="none"/>
              </w:rPr>
            </w:pPr>
            <w:r>
              <w:rPr>
                <w:rFonts w:hint="eastAsia"/>
                <w:sz w:val="18"/>
                <w:szCs w:val="18"/>
                <w:highlight w:val="none"/>
              </w:rPr>
              <w:t>类型</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水体</w:t>
            </w:r>
          </w:p>
          <w:p>
            <w:pPr>
              <w:pStyle w:val="59"/>
              <w:ind w:firstLine="0" w:firstLineChars="0"/>
              <w:jc w:val="center"/>
              <w:rPr>
                <w:sz w:val="18"/>
                <w:szCs w:val="18"/>
                <w:highlight w:val="none"/>
              </w:rPr>
            </w:pPr>
            <w:r>
              <w:rPr>
                <w:rFonts w:hint="eastAsia"/>
                <w:sz w:val="18"/>
                <w:szCs w:val="18"/>
                <w:highlight w:val="none"/>
              </w:rPr>
              <w:t>级别</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所在</w:t>
            </w:r>
          </w:p>
          <w:p>
            <w:pPr>
              <w:pStyle w:val="59"/>
              <w:ind w:firstLine="0" w:firstLineChars="0"/>
              <w:jc w:val="center"/>
              <w:rPr>
                <w:sz w:val="18"/>
                <w:szCs w:val="18"/>
                <w:highlight w:val="none"/>
              </w:rPr>
            </w:pPr>
            <w:r>
              <w:rPr>
                <w:rFonts w:hint="eastAsia"/>
                <w:sz w:val="18"/>
                <w:szCs w:val="18"/>
                <w:highlight w:val="none"/>
              </w:rPr>
              <w:t>流域</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汇入</w:t>
            </w:r>
          </w:p>
          <w:p>
            <w:pPr>
              <w:pStyle w:val="59"/>
              <w:ind w:firstLine="0" w:firstLineChars="0"/>
              <w:jc w:val="center"/>
              <w:rPr>
                <w:sz w:val="18"/>
                <w:szCs w:val="18"/>
                <w:highlight w:val="none"/>
              </w:rPr>
            </w:pPr>
            <w:r>
              <w:rPr>
                <w:rFonts w:hint="eastAsia"/>
                <w:sz w:val="18"/>
                <w:szCs w:val="18"/>
                <w:highlight w:val="none"/>
              </w:rPr>
              <w:t>水体</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水质</w:t>
            </w:r>
          </w:p>
          <w:p>
            <w:pPr>
              <w:pStyle w:val="59"/>
              <w:ind w:firstLine="0" w:firstLineChars="0"/>
              <w:jc w:val="center"/>
              <w:rPr>
                <w:sz w:val="18"/>
                <w:szCs w:val="18"/>
                <w:highlight w:val="none"/>
              </w:rPr>
            </w:pPr>
            <w:r>
              <w:rPr>
                <w:rFonts w:hint="eastAsia"/>
                <w:sz w:val="18"/>
                <w:szCs w:val="18"/>
                <w:highlight w:val="none"/>
              </w:rPr>
              <w:t>现状</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断面</w:t>
            </w:r>
          </w:p>
          <w:p>
            <w:pPr>
              <w:pStyle w:val="59"/>
              <w:ind w:firstLine="0" w:firstLineChars="0"/>
              <w:jc w:val="center"/>
              <w:rPr>
                <w:sz w:val="18"/>
                <w:szCs w:val="18"/>
                <w:highlight w:val="none"/>
              </w:rPr>
            </w:pPr>
            <w:r>
              <w:rPr>
                <w:rFonts w:hint="eastAsia"/>
                <w:sz w:val="18"/>
                <w:szCs w:val="18"/>
                <w:highlight w:val="none"/>
              </w:rPr>
              <w:t>来源</w:t>
            </w:r>
          </w:p>
        </w:tc>
        <w:tc>
          <w:tcPr>
            <w:tcW w:w="497" w:type="pct"/>
            <w:vAlign w:val="center"/>
          </w:tcPr>
          <w:p>
            <w:pPr>
              <w:pStyle w:val="59"/>
              <w:ind w:firstLine="0" w:firstLineChars="0"/>
              <w:jc w:val="center"/>
              <w:rPr>
                <w:sz w:val="18"/>
                <w:szCs w:val="18"/>
                <w:highlight w:val="none"/>
              </w:rPr>
            </w:pPr>
            <w:r>
              <w:rPr>
                <w:rFonts w:hint="eastAsia"/>
                <w:sz w:val="18"/>
                <w:szCs w:val="18"/>
                <w:highlight w:val="none"/>
              </w:rPr>
              <w:t>经度</w:t>
            </w:r>
          </w:p>
        </w:tc>
        <w:tc>
          <w:tcPr>
            <w:tcW w:w="450" w:type="pct"/>
            <w:vAlign w:val="center"/>
          </w:tcPr>
          <w:p>
            <w:pPr>
              <w:pStyle w:val="59"/>
              <w:ind w:firstLine="0" w:firstLineChars="0"/>
              <w:jc w:val="center"/>
              <w:rPr>
                <w:sz w:val="18"/>
                <w:szCs w:val="18"/>
                <w:highlight w:val="none"/>
              </w:rPr>
            </w:pPr>
            <w:r>
              <w:rPr>
                <w:rFonts w:hint="eastAsia"/>
                <w:sz w:val="18"/>
                <w:szCs w:val="18"/>
                <w:highlight w:val="none"/>
              </w:rPr>
              <w:t>纬度</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所在</w:t>
            </w:r>
          </w:p>
          <w:p>
            <w:pPr>
              <w:pStyle w:val="59"/>
              <w:ind w:firstLine="0" w:firstLineChars="0"/>
              <w:jc w:val="center"/>
              <w:rPr>
                <w:sz w:val="18"/>
                <w:szCs w:val="18"/>
                <w:highlight w:val="none"/>
              </w:rPr>
            </w:pPr>
            <w:r>
              <w:rPr>
                <w:rFonts w:hint="eastAsia"/>
                <w:sz w:val="18"/>
                <w:szCs w:val="18"/>
                <w:highlight w:val="none"/>
              </w:rPr>
              <w:t>行政区</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责任行政区</w:t>
            </w:r>
          </w:p>
        </w:tc>
        <w:tc>
          <w:tcPr>
            <w:tcW w:w="305" w:type="pct"/>
            <w:vAlign w:val="center"/>
          </w:tcPr>
          <w:p>
            <w:pPr>
              <w:pStyle w:val="59"/>
              <w:ind w:firstLine="0" w:firstLineChars="0"/>
              <w:jc w:val="center"/>
              <w:rPr>
                <w:sz w:val="18"/>
                <w:szCs w:val="18"/>
                <w:highlight w:val="none"/>
              </w:rPr>
            </w:pPr>
            <w:r>
              <w:rPr>
                <w:rFonts w:hint="eastAsia"/>
                <w:sz w:val="18"/>
                <w:szCs w:val="18"/>
                <w:highlight w:val="none"/>
              </w:rPr>
              <w:t>跨界类型</w:t>
            </w:r>
          </w:p>
        </w:tc>
        <w:tc>
          <w:tcPr>
            <w:tcW w:w="432" w:type="pct"/>
            <w:vAlign w:val="center"/>
          </w:tcPr>
          <w:p>
            <w:pPr>
              <w:pStyle w:val="59"/>
              <w:ind w:firstLine="0" w:firstLineChars="0"/>
              <w:jc w:val="center"/>
              <w:rPr>
                <w:sz w:val="18"/>
                <w:szCs w:val="18"/>
                <w:highlight w:val="none"/>
              </w:rPr>
            </w:pPr>
            <w:r>
              <w:rPr>
                <w:rFonts w:hint="eastAsia"/>
                <w:sz w:val="18"/>
                <w:szCs w:val="18"/>
                <w:highlight w:val="none"/>
              </w:rPr>
              <w:t>断面管理信息</w:t>
            </w:r>
          </w:p>
        </w:tc>
        <w:tc>
          <w:tcPr>
            <w:tcW w:w="432" w:type="pct"/>
            <w:vAlign w:val="center"/>
          </w:tcPr>
          <w:p>
            <w:pPr>
              <w:pStyle w:val="59"/>
              <w:ind w:firstLine="0" w:firstLineChars="0"/>
              <w:jc w:val="center"/>
              <w:rPr>
                <w:sz w:val="18"/>
                <w:szCs w:val="18"/>
                <w:highlight w:val="none"/>
              </w:rPr>
            </w:pPr>
            <w:r>
              <w:rPr>
                <w:rFonts w:hint="eastAsia"/>
                <w:sz w:val="18"/>
                <w:szCs w:val="18"/>
                <w:highlight w:val="none"/>
              </w:rPr>
              <w:t>所在水功能区名称</w:t>
            </w:r>
          </w:p>
        </w:tc>
        <w:tc>
          <w:tcPr>
            <w:tcW w:w="432" w:type="pct"/>
            <w:vAlign w:val="center"/>
          </w:tcPr>
          <w:p>
            <w:pPr>
              <w:pStyle w:val="59"/>
              <w:ind w:firstLine="0" w:firstLineChars="0"/>
              <w:jc w:val="center"/>
              <w:rPr>
                <w:sz w:val="18"/>
                <w:szCs w:val="18"/>
                <w:highlight w:val="none"/>
              </w:rPr>
            </w:pPr>
            <w:r>
              <w:rPr>
                <w:rFonts w:hint="eastAsia"/>
                <w:sz w:val="18"/>
                <w:szCs w:val="18"/>
                <w:highlight w:val="none"/>
              </w:rPr>
              <w:t>代表</w:t>
            </w:r>
            <w:r>
              <w:rPr>
                <w:rFonts w:hint="eastAsia"/>
                <w:sz w:val="18"/>
                <w:szCs w:val="18"/>
                <w:highlight w:val="none"/>
              </w:rPr>
              <w:t>水功能区名称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 w:type="pct"/>
            <w:vAlign w:val="center"/>
          </w:tcPr>
          <w:p>
            <w:pPr>
              <w:pStyle w:val="59"/>
              <w:ind w:firstLine="0" w:firstLineChars="0"/>
              <w:jc w:val="center"/>
              <w:rPr>
                <w:sz w:val="18"/>
                <w:szCs w:val="18"/>
                <w:highlight w:val="none"/>
              </w:rPr>
            </w:pPr>
            <w:r>
              <w:rPr>
                <w:rFonts w:hint="eastAsia"/>
                <w:sz w:val="18"/>
                <w:szCs w:val="18"/>
                <w:highlight w:val="none"/>
              </w:rPr>
              <w:t>节制闸</w:t>
            </w:r>
          </w:p>
        </w:tc>
        <w:tc>
          <w:tcPr>
            <w:tcW w:w="244" w:type="pct"/>
            <w:vAlign w:val="center"/>
          </w:tcPr>
          <w:p>
            <w:pPr>
              <w:pStyle w:val="59"/>
              <w:ind w:firstLine="0" w:firstLineChars="0"/>
              <w:jc w:val="center"/>
              <w:rPr>
                <w:sz w:val="18"/>
                <w:szCs w:val="18"/>
                <w:highlight w:val="none"/>
              </w:rPr>
            </w:pPr>
            <w:r>
              <w:rPr>
                <w:rFonts w:hint="eastAsia"/>
                <w:sz w:val="18"/>
                <w:szCs w:val="18"/>
                <w:highlight w:val="none"/>
              </w:rPr>
              <w:t>秦淮新河</w:t>
            </w:r>
          </w:p>
        </w:tc>
        <w:tc>
          <w:tcPr>
            <w:tcW w:w="244" w:type="pct"/>
            <w:vAlign w:val="center"/>
          </w:tcPr>
          <w:p>
            <w:pPr>
              <w:pStyle w:val="59"/>
              <w:ind w:firstLine="0" w:firstLineChars="0"/>
              <w:jc w:val="center"/>
              <w:rPr>
                <w:sz w:val="18"/>
                <w:szCs w:val="18"/>
                <w:highlight w:val="none"/>
              </w:rPr>
            </w:pPr>
            <w:r>
              <w:rPr>
                <w:rFonts w:hint="eastAsia"/>
                <w:sz w:val="18"/>
                <w:szCs w:val="18"/>
                <w:highlight w:val="none"/>
              </w:rPr>
              <w:t>河流</w:t>
            </w:r>
          </w:p>
        </w:tc>
        <w:tc>
          <w:tcPr>
            <w:tcW w:w="245" w:type="pct"/>
            <w:vAlign w:val="center"/>
          </w:tcPr>
          <w:p>
            <w:pPr>
              <w:ind w:firstLine="0" w:firstLineChars="0"/>
              <w:jc w:val="center"/>
              <w:textAlignment w:val="center"/>
              <w:rPr>
                <w:sz w:val="18"/>
                <w:szCs w:val="18"/>
                <w:highlight w:val="none"/>
              </w:rPr>
            </w:pPr>
            <w:r>
              <w:rPr>
                <w:rFonts w:hint="eastAsia" w:ascii="宋体" w:hAnsi="宋体" w:cs="宋体"/>
                <w:color w:val="000000"/>
                <w:kern w:val="0"/>
                <w:sz w:val="18"/>
                <w:szCs w:val="18"/>
                <w:highlight w:val="none"/>
                <w:lang w:bidi="ar"/>
              </w:rPr>
              <w:t>流域性河道</w:t>
            </w:r>
          </w:p>
        </w:tc>
        <w:tc>
          <w:tcPr>
            <w:tcW w:w="245" w:type="pct"/>
            <w:vAlign w:val="center"/>
          </w:tcPr>
          <w:p>
            <w:pPr>
              <w:ind w:firstLine="0" w:firstLineChars="0"/>
              <w:jc w:val="center"/>
              <w:textAlignment w:val="center"/>
              <w:rPr>
                <w:sz w:val="18"/>
                <w:szCs w:val="18"/>
                <w:highlight w:val="none"/>
              </w:rPr>
            </w:pPr>
            <w:r>
              <w:rPr>
                <w:rFonts w:hint="eastAsia" w:ascii="宋体" w:hAnsi="宋体" w:cs="宋体"/>
                <w:color w:val="000000"/>
                <w:kern w:val="0"/>
                <w:sz w:val="18"/>
                <w:szCs w:val="18"/>
                <w:highlight w:val="none"/>
                <w:lang w:bidi="ar"/>
              </w:rPr>
              <w:t>长江流域</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长江</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Ⅱ</w:t>
            </w:r>
            <w:r>
              <w:rPr>
                <w:rFonts w:hint="eastAsia"/>
                <w:sz w:val="18"/>
                <w:szCs w:val="18"/>
                <w:highlight w:val="none"/>
              </w:rPr>
              <w:t>类</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十四五国控断面</w:t>
            </w:r>
          </w:p>
        </w:tc>
        <w:tc>
          <w:tcPr>
            <w:tcW w:w="497" w:type="pct"/>
            <w:vAlign w:val="center"/>
          </w:tcPr>
          <w:p>
            <w:pPr>
              <w:ind w:firstLine="0" w:firstLineChars="0"/>
              <w:jc w:val="center"/>
              <w:textAlignment w:val="center"/>
              <w:rPr>
                <w:sz w:val="18"/>
                <w:szCs w:val="18"/>
                <w:highlight w:val="none"/>
              </w:rPr>
            </w:pPr>
            <w:r>
              <w:rPr>
                <w:rFonts w:hint="eastAsia" w:ascii="宋体" w:hAnsi="宋体" w:cs="宋体"/>
                <w:color w:val="000000"/>
                <w:kern w:val="0"/>
                <w:sz w:val="18"/>
                <w:szCs w:val="18"/>
                <w:highlight w:val="none"/>
                <w:lang w:bidi="ar"/>
              </w:rPr>
              <w:t>118.6669</w:t>
            </w:r>
          </w:p>
        </w:tc>
        <w:tc>
          <w:tcPr>
            <w:tcW w:w="450" w:type="pct"/>
            <w:vAlign w:val="center"/>
          </w:tcPr>
          <w:p>
            <w:pPr>
              <w:ind w:firstLine="0" w:firstLineChars="0"/>
              <w:jc w:val="center"/>
              <w:textAlignment w:val="center"/>
              <w:rPr>
                <w:sz w:val="18"/>
                <w:szCs w:val="18"/>
                <w:highlight w:val="none"/>
              </w:rPr>
            </w:pPr>
            <w:r>
              <w:rPr>
                <w:rFonts w:hint="eastAsia" w:ascii="宋体" w:hAnsi="宋体" w:cs="宋体"/>
                <w:color w:val="000000"/>
                <w:kern w:val="0"/>
                <w:sz w:val="18"/>
                <w:szCs w:val="18"/>
                <w:highlight w:val="none"/>
                <w:lang w:bidi="ar"/>
              </w:rPr>
              <w:t>31.9645</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江苏省南京市雨花台区</w:t>
            </w:r>
          </w:p>
        </w:tc>
        <w:tc>
          <w:tcPr>
            <w:tcW w:w="245" w:type="pct"/>
            <w:vAlign w:val="center"/>
          </w:tcPr>
          <w:p>
            <w:pPr>
              <w:pStyle w:val="59"/>
              <w:ind w:firstLine="0" w:firstLineChars="0"/>
              <w:jc w:val="center"/>
              <w:rPr>
                <w:sz w:val="18"/>
                <w:szCs w:val="18"/>
                <w:highlight w:val="none"/>
              </w:rPr>
            </w:pPr>
            <w:r>
              <w:rPr>
                <w:rFonts w:hint="eastAsia"/>
                <w:sz w:val="18"/>
                <w:szCs w:val="18"/>
                <w:highlight w:val="none"/>
              </w:rPr>
              <w:t>江苏省南京市雨花台区</w:t>
            </w:r>
          </w:p>
        </w:tc>
        <w:tc>
          <w:tcPr>
            <w:tcW w:w="305" w:type="pct"/>
            <w:vAlign w:val="center"/>
          </w:tcPr>
          <w:p>
            <w:pPr>
              <w:pStyle w:val="59"/>
              <w:ind w:firstLine="0" w:firstLineChars="0"/>
              <w:jc w:val="center"/>
              <w:rPr>
                <w:sz w:val="18"/>
                <w:szCs w:val="18"/>
                <w:highlight w:val="none"/>
              </w:rPr>
            </w:pPr>
            <w:r>
              <w:rPr>
                <w:rFonts w:hint="eastAsia"/>
                <w:sz w:val="18"/>
                <w:szCs w:val="18"/>
                <w:highlight w:val="none"/>
              </w:rPr>
              <w:t>县界（雨花台区/建邺区）</w:t>
            </w:r>
          </w:p>
        </w:tc>
        <w:tc>
          <w:tcPr>
            <w:tcW w:w="432" w:type="pct"/>
            <w:vAlign w:val="center"/>
          </w:tcPr>
          <w:p>
            <w:pPr>
              <w:pStyle w:val="59"/>
              <w:ind w:firstLine="0" w:firstLineChars="0"/>
              <w:jc w:val="center"/>
              <w:rPr>
                <w:sz w:val="18"/>
                <w:szCs w:val="18"/>
                <w:highlight w:val="none"/>
              </w:rPr>
            </w:pPr>
            <w:r>
              <w:rPr>
                <w:rFonts w:hint="eastAsia"/>
                <w:sz w:val="18"/>
                <w:szCs w:val="18"/>
                <w:highlight w:val="none"/>
              </w:rPr>
              <w:t>长江主要支流控制断面</w:t>
            </w:r>
          </w:p>
        </w:tc>
        <w:tc>
          <w:tcPr>
            <w:tcW w:w="432" w:type="pct"/>
            <w:vAlign w:val="center"/>
          </w:tcPr>
          <w:p>
            <w:pPr>
              <w:pStyle w:val="59"/>
              <w:ind w:firstLine="0" w:firstLineChars="0"/>
              <w:jc w:val="center"/>
              <w:rPr>
                <w:sz w:val="18"/>
                <w:szCs w:val="18"/>
                <w:highlight w:val="none"/>
              </w:rPr>
            </w:pPr>
            <w:r>
              <w:rPr>
                <w:rFonts w:hint="eastAsia"/>
                <w:sz w:val="18"/>
                <w:szCs w:val="18"/>
                <w:highlight w:val="none"/>
              </w:rPr>
              <w:t>秦淮新河江宁、雨花工业、景观娱乐用水区</w:t>
            </w:r>
          </w:p>
        </w:tc>
        <w:tc>
          <w:tcPr>
            <w:tcW w:w="432" w:type="pct"/>
            <w:vAlign w:val="center"/>
          </w:tcPr>
          <w:p>
            <w:pPr>
              <w:pStyle w:val="59"/>
              <w:ind w:firstLine="0" w:firstLineChars="0"/>
              <w:jc w:val="center"/>
              <w:rPr>
                <w:sz w:val="18"/>
                <w:szCs w:val="18"/>
                <w:highlight w:val="none"/>
              </w:rPr>
            </w:pPr>
            <w:r>
              <w:rPr>
                <w:rFonts w:hint="eastAsia"/>
                <w:sz w:val="18"/>
                <w:szCs w:val="18"/>
                <w:highlight w:val="none"/>
              </w:rPr>
              <w:t>秦淮新河江宁、雨花工业、景观娱乐用水区</w:t>
            </w:r>
          </w:p>
        </w:tc>
      </w:tr>
    </w:tbl>
    <w:p>
      <w:pPr>
        <w:pStyle w:val="59"/>
        <w:ind w:firstLine="420"/>
        <w:sectPr>
          <w:headerReference r:id="rId16" w:type="default"/>
          <w:footerReference r:id="rId18" w:type="default"/>
          <w:headerReference r:id="rId17" w:type="even"/>
          <w:footerReference r:id="rId19" w:type="even"/>
          <w:pgSz w:w="11906" w:h="16838"/>
          <w:pgMar w:top="2410" w:right="1134" w:bottom="1134" w:left="1134" w:header="1418" w:footer="1134" w:gutter="284"/>
          <w:pgNumType w:start="1"/>
          <w:cols w:space="425" w:num="1"/>
          <w:formProt w:val="0"/>
          <w:docGrid w:type="lines" w:linePitch="312" w:charSpace="0"/>
        </w:sectPr>
      </w:pPr>
    </w:p>
    <w:p>
      <w:pPr>
        <w:pStyle w:val="66"/>
        <w:spacing w:before="124" w:after="156"/>
      </w:pPr>
      <w:bookmarkStart w:id="147" w:name="_Toc5064"/>
      <w:bookmarkStart w:id="148" w:name="_Toc101390759"/>
      <w:r>
        <w:rPr>
          <w:rFonts w:hint="eastAsia"/>
          <w:spacing w:val="105"/>
        </w:rPr>
        <w:t>参考文</w:t>
      </w:r>
      <w:r>
        <w:rPr>
          <w:rFonts w:hint="eastAsia"/>
        </w:rPr>
        <w:t>献</w:t>
      </w:r>
      <w:bookmarkEnd w:id="147"/>
      <w:bookmarkEnd w:id="148"/>
    </w:p>
    <w:p>
      <w:pPr>
        <w:pStyle w:val="59"/>
        <w:ind w:firstLine="420" w:firstLineChars="200"/>
        <w:jc w:val="left"/>
      </w:pPr>
      <w:r>
        <w:rPr>
          <w:rFonts w:hint="eastAsia"/>
        </w:rPr>
        <w:t xml:space="preserve">[1]  </w:t>
      </w:r>
      <w:r>
        <w:rPr>
          <w:rFonts w:hint="eastAsia" w:ascii="Times New Roman"/>
        </w:rPr>
        <w:t>江苏省人民政府.</w:t>
      </w:r>
      <w:r>
        <w:rPr>
          <w:rFonts w:hint="eastAsia"/>
        </w:rPr>
        <w:t>江苏省骨干河道名录（</w:t>
      </w:r>
      <w:r>
        <w:rPr>
          <w:rFonts w:hint="eastAsia"/>
        </w:rPr>
        <w:tab/>
      </w:r>
      <w:r>
        <w:rPr>
          <w:rFonts w:hint="eastAsia"/>
        </w:rPr>
        <w:t>苏政复〔2019〕20号）</w:t>
      </w:r>
      <w:r>
        <w:t>.2019</w:t>
      </w:r>
      <w:r>
        <w:rPr>
          <w:rFonts w:hint="eastAsia"/>
        </w:rPr>
        <w:t>-0</w:t>
      </w:r>
      <w:r>
        <w:t>2</w:t>
      </w:r>
      <w:r>
        <w:rPr>
          <w:rFonts w:hint="eastAsia"/>
        </w:rPr>
        <w:t>-1</w:t>
      </w:r>
      <w:r>
        <w:t>2</w:t>
      </w:r>
      <w:r>
        <w:rPr>
          <w:rFonts w:hint="eastAsia"/>
        </w:rPr>
        <w:t>.</w:t>
      </w:r>
    </w:p>
    <w:p>
      <w:pPr>
        <w:pStyle w:val="59"/>
        <w:ind w:firstLine="420" w:firstLineChars="200"/>
      </w:pPr>
      <w:bookmarkStart w:id="149" w:name="_Hlk101449787"/>
      <w:r>
        <w:t xml:space="preserve">[2]  </w:t>
      </w:r>
      <w:r>
        <w:rPr>
          <w:rFonts w:hint="eastAsia" w:ascii="Times New Roman"/>
        </w:rPr>
        <w:t>江苏省人民政府</w:t>
      </w:r>
      <w:r>
        <w:rPr>
          <w:rFonts w:ascii="Times New Roman"/>
        </w:rPr>
        <w:t>.</w:t>
      </w:r>
      <w:bookmarkStart w:id="150" w:name="_Hlk101431196"/>
      <w:r>
        <w:rPr>
          <w:rFonts w:hint="eastAsia"/>
        </w:rPr>
        <w:t>江苏省地表水（环境）功能区划</w:t>
      </w:r>
      <w:bookmarkEnd w:id="150"/>
      <w:r>
        <w:rPr>
          <w:rFonts w:hint="eastAsia"/>
        </w:rPr>
        <w:t>（苏政复〔2022〕13号）</w:t>
      </w:r>
      <w:r>
        <w:t>.2022</w:t>
      </w:r>
      <w:r>
        <w:rPr>
          <w:rFonts w:hint="eastAsia"/>
        </w:rPr>
        <w:t>-02-25.</w:t>
      </w:r>
    </w:p>
    <w:bookmarkEnd w:id="149"/>
    <w:p>
      <w:pPr>
        <w:pStyle w:val="59"/>
        <w:ind w:firstLine="420" w:firstLineChars="200"/>
        <w:jc w:val="both"/>
      </w:pPr>
      <w:r>
        <w:rPr>
          <w:rFonts w:hint="eastAsia"/>
        </w:rPr>
        <w:t xml:space="preserve">[3]  </w:t>
      </w:r>
      <w:r>
        <w:rPr>
          <w:rFonts w:hint="eastAsia" w:ascii="Times New Roman"/>
          <w:spacing w:val="-4"/>
          <w:szCs w:val="21"/>
        </w:rPr>
        <w:t>江苏省人民代表大</w:t>
      </w:r>
      <w:r>
        <w:rPr>
          <w:rFonts w:hint="eastAsia" w:ascii="Times New Roman"/>
          <w:szCs w:val="21"/>
        </w:rPr>
        <w:t>会常务委员会</w:t>
      </w:r>
      <w:r>
        <w:rPr>
          <w:rFonts w:ascii="Times New Roman"/>
          <w:szCs w:val="21"/>
        </w:rPr>
        <w:t>.</w:t>
      </w:r>
      <w:r>
        <w:rPr>
          <w:rFonts w:hint="eastAsia"/>
        </w:rPr>
        <w:t>江苏省湖泊保护条例</w:t>
      </w:r>
      <w:r>
        <w:t>.</w:t>
      </w:r>
      <w:r>
        <w:rPr>
          <w:rFonts w:hint="eastAsia"/>
        </w:rPr>
        <w:t>2021-09-29.</w:t>
      </w:r>
    </w:p>
    <w:p>
      <w:pPr>
        <w:pStyle w:val="59"/>
        <w:ind w:firstLine="420" w:firstLineChars="200"/>
        <w:jc w:val="both"/>
      </w:pPr>
      <w:r>
        <w:rPr>
          <w:rFonts w:hint="eastAsia"/>
        </w:rPr>
        <w:t xml:space="preserve">[4]  </w:t>
      </w:r>
      <w:r>
        <w:rPr>
          <w:rFonts w:hint="eastAsia" w:ascii="Times New Roman"/>
          <w:spacing w:val="-4"/>
          <w:szCs w:val="21"/>
        </w:rPr>
        <w:t>江苏省人民代表大</w:t>
      </w:r>
      <w:r>
        <w:rPr>
          <w:rFonts w:hint="eastAsia" w:ascii="Times New Roman"/>
          <w:szCs w:val="21"/>
        </w:rPr>
        <w:t>会常务委员会</w:t>
      </w:r>
      <w:r>
        <w:rPr>
          <w:rFonts w:ascii="Times New Roman"/>
          <w:szCs w:val="21"/>
        </w:rPr>
        <w:t>.</w:t>
      </w:r>
      <w:r>
        <w:rPr>
          <w:rFonts w:hint="eastAsia"/>
        </w:rPr>
        <w:t>江苏省河道管理条例</w:t>
      </w:r>
      <w:r>
        <w:t>.</w:t>
      </w:r>
      <w:r>
        <w:rPr>
          <w:rFonts w:hint="eastAsia"/>
        </w:rPr>
        <w:t>2021-09-29.</w:t>
      </w:r>
    </w:p>
    <w:bookmarkEnd w:id="146"/>
    <w:p>
      <w:pPr>
        <w:pStyle w:val="59"/>
        <w:ind w:firstLine="0" w:firstLineChars="0"/>
        <w:jc w:val="center"/>
      </w:pPr>
      <w:bookmarkStart w:id="151" w:name="BookMark8"/>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1"/>
    </w:p>
    <w:sectPr>
      <w:headerReference r:id="rId20" w:type="default"/>
      <w:footerReference r:id="rId22" w:type="default"/>
      <w:headerReference r:id="rId21" w:type="even"/>
      <w:footerReference r:id="rId23" w:type="even"/>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rPr>
        <w:rFonts w:hint="eastAsia"/>
      </w:rPr>
      <w:t>Ⅰ</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rPr>
        <w:rFonts w:hint="eastAsia"/>
      </w:rPr>
      <w:t>Ⅲ</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ind w:left="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32/T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5246" w:firstLine="0"/>
      </w:pPr>
      <w:rPr>
        <w:rFonts w:hint="eastAsia" w:ascii="黑体" w:eastAsia="黑体"/>
        <w:b w:val="0"/>
        <w:i w:val="0"/>
        <w:sz w:val="21"/>
      </w:rPr>
    </w:lvl>
    <w:lvl w:ilvl="4" w:tentative="0">
      <w:start w:val="1"/>
      <w:numFmt w:val="decimal"/>
      <w:pStyle w:val="97"/>
      <w:suff w:val="nothing"/>
      <w:lvlText w:val="%1%2.%3.%4.%5　"/>
      <w:lvlJc w:val="left"/>
      <w:pPr>
        <w:ind w:left="852"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mMTM0NjgyNjQwNjY3M2Q2ZTZkYjAxMmI0ZWYwNTkifQ=="/>
  </w:docVars>
  <w:rsids>
    <w:rsidRoot w:val="004512DA"/>
    <w:rsid w:val="0000040A"/>
    <w:rsid w:val="00000A94"/>
    <w:rsid w:val="00001972"/>
    <w:rsid w:val="00001D9A"/>
    <w:rsid w:val="00007B3A"/>
    <w:rsid w:val="000107E0"/>
    <w:rsid w:val="00011FDE"/>
    <w:rsid w:val="00012FFD"/>
    <w:rsid w:val="00014162"/>
    <w:rsid w:val="00014340"/>
    <w:rsid w:val="00016210"/>
    <w:rsid w:val="00016A9C"/>
    <w:rsid w:val="00022184"/>
    <w:rsid w:val="00022762"/>
    <w:rsid w:val="00022B42"/>
    <w:rsid w:val="000238E0"/>
    <w:rsid w:val="000249DB"/>
    <w:rsid w:val="0002595E"/>
    <w:rsid w:val="000303C3"/>
    <w:rsid w:val="000331D3"/>
    <w:rsid w:val="000346A5"/>
    <w:rsid w:val="000359C3"/>
    <w:rsid w:val="00035A7D"/>
    <w:rsid w:val="000365ED"/>
    <w:rsid w:val="0003751D"/>
    <w:rsid w:val="0004249A"/>
    <w:rsid w:val="00043282"/>
    <w:rsid w:val="00044286"/>
    <w:rsid w:val="00047F28"/>
    <w:rsid w:val="000503AA"/>
    <w:rsid w:val="000506A1"/>
    <w:rsid w:val="000515DD"/>
    <w:rsid w:val="0005265A"/>
    <w:rsid w:val="000539DD"/>
    <w:rsid w:val="00053BD3"/>
    <w:rsid w:val="00054EB8"/>
    <w:rsid w:val="000556ED"/>
    <w:rsid w:val="00055FE2"/>
    <w:rsid w:val="0005616F"/>
    <w:rsid w:val="0005705D"/>
    <w:rsid w:val="00060C2E"/>
    <w:rsid w:val="00061033"/>
    <w:rsid w:val="000619E9"/>
    <w:rsid w:val="000622D4"/>
    <w:rsid w:val="0006357D"/>
    <w:rsid w:val="00064FDA"/>
    <w:rsid w:val="000679C5"/>
    <w:rsid w:val="00067F1E"/>
    <w:rsid w:val="00071CC0"/>
    <w:rsid w:val="00073C8C"/>
    <w:rsid w:val="000752F3"/>
    <w:rsid w:val="00077A55"/>
    <w:rsid w:val="00077B64"/>
    <w:rsid w:val="00077FB6"/>
    <w:rsid w:val="00077FFC"/>
    <w:rsid w:val="00080A1C"/>
    <w:rsid w:val="00082317"/>
    <w:rsid w:val="00083D2C"/>
    <w:rsid w:val="000860BC"/>
    <w:rsid w:val="00086AA1"/>
    <w:rsid w:val="00087A77"/>
    <w:rsid w:val="00090CA6"/>
    <w:rsid w:val="00092B8A"/>
    <w:rsid w:val="00092FB0"/>
    <w:rsid w:val="000934C5"/>
    <w:rsid w:val="00093D25"/>
    <w:rsid w:val="00093DAB"/>
    <w:rsid w:val="00094D73"/>
    <w:rsid w:val="000969C8"/>
    <w:rsid w:val="00096D63"/>
    <w:rsid w:val="000A0B60"/>
    <w:rsid w:val="000A0EB8"/>
    <w:rsid w:val="000A19FC"/>
    <w:rsid w:val="000A296B"/>
    <w:rsid w:val="000A2F9B"/>
    <w:rsid w:val="000A4989"/>
    <w:rsid w:val="000A543D"/>
    <w:rsid w:val="000A7311"/>
    <w:rsid w:val="000B060F"/>
    <w:rsid w:val="000B1592"/>
    <w:rsid w:val="000B1FF2"/>
    <w:rsid w:val="000B3CDA"/>
    <w:rsid w:val="000B5D4B"/>
    <w:rsid w:val="000B5DE2"/>
    <w:rsid w:val="000B6A0B"/>
    <w:rsid w:val="000C0F6C"/>
    <w:rsid w:val="000C11DB"/>
    <w:rsid w:val="000C1492"/>
    <w:rsid w:val="000C2FBD"/>
    <w:rsid w:val="000C2FFD"/>
    <w:rsid w:val="000C4B41"/>
    <w:rsid w:val="000C57D6"/>
    <w:rsid w:val="000C5E3D"/>
    <w:rsid w:val="000C6362"/>
    <w:rsid w:val="000C7666"/>
    <w:rsid w:val="000D0A9C"/>
    <w:rsid w:val="000D1795"/>
    <w:rsid w:val="000D329A"/>
    <w:rsid w:val="000D4110"/>
    <w:rsid w:val="000D4B9C"/>
    <w:rsid w:val="000D4EB6"/>
    <w:rsid w:val="000D50A1"/>
    <w:rsid w:val="000D753B"/>
    <w:rsid w:val="000E0139"/>
    <w:rsid w:val="000E3BAD"/>
    <w:rsid w:val="000E4C9E"/>
    <w:rsid w:val="000E6DF9"/>
    <w:rsid w:val="000E6FD7"/>
    <w:rsid w:val="000F06E1"/>
    <w:rsid w:val="000F0E3C"/>
    <w:rsid w:val="000F19D5"/>
    <w:rsid w:val="000F4AEA"/>
    <w:rsid w:val="000F633F"/>
    <w:rsid w:val="000F67E9"/>
    <w:rsid w:val="00101159"/>
    <w:rsid w:val="00101C18"/>
    <w:rsid w:val="001021F3"/>
    <w:rsid w:val="00104926"/>
    <w:rsid w:val="00110F06"/>
    <w:rsid w:val="00111DC9"/>
    <w:rsid w:val="00113B1E"/>
    <w:rsid w:val="0011711C"/>
    <w:rsid w:val="0012059C"/>
    <w:rsid w:val="0012413D"/>
    <w:rsid w:val="00124E4F"/>
    <w:rsid w:val="001260B7"/>
    <w:rsid w:val="001265CB"/>
    <w:rsid w:val="0012680A"/>
    <w:rsid w:val="001321C6"/>
    <w:rsid w:val="001325C4"/>
    <w:rsid w:val="00133010"/>
    <w:rsid w:val="001338EE"/>
    <w:rsid w:val="00133AAE"/>
    <w:rsid w:val="00135323"/>
    <w:rsid w:val="001356C4"/>
    <w:rsid w:val="001370D3"/>
    <w:rsid w:val="00141114"/>
    <w:rsid w:val="00142969"/>
    <w:rsid w:val="001446C2"/>
    <w:rsid w:val="001457E7"/>
    <w:rsid w:val="00145D9D"/>
    <w:rsid w:val="00146388"/>
    <w:rsid w:val="00146DBB"/>
    <w:rsid w:val="001529E5"/>
    <w:rsid w:val="00153C7E"/>
    <w:rsid w:val="00156B25"/>
    <w:rsid w:val="00156E1A"/>
    <w:rsid w:val="00156E8F"/>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66D"/>
    <w:rsid w:val="00182523"/>
    <w:rsid w:val="0018358A"/>
    <w:rsid w:val="001852C9"/>
    <w:rsid w:val="00190087"/>
    <w:rsid w:val="001913C4"/>
    <w:rsid w:val="0019348F"/>
    <w:rsid w:val="00193A07"/>
    <w:rsid w:val="00194C95"/>
    <w:rsid w:val="00195C34"/>
    <w:rsid w:val="00196EF5"/>
    <w:rsid w:val="001A1A53"/>
    <w:rsid w:val="001A234A"/>
    <w:rsid w:val="001A49CC"/>
    <w:rsid w:val="001A4CF3"/>
    <w:rsid w:val="001A5A85"/>
    <w:rsid w:val="001A7201"/>
    <w:rsid w:val="001B05C9"/>
    <w:rsid w:val="001B06E8"/>
    <w:rsid w:val="001B2CC2"/>
    <w:rsid w:val="001B37FB"/>
    <w:rsid w:val="001B71D0"/>
    <w:rsid w:val="001B71EE"/>
    <w:rsid w:val="001C04A8"/>
    <w:rsid w:val="001C2C03"/>
    <w:rsid w:val="001C37EE"/>
    <w:rsid w:val="001C42F7"/>
    <w:rsid w:val="001C49E5"/>
    <w:rsid w:val="001C680C"/>
    <w:rsid w:val="001C7FEA"/>
    <w:rsid w:val="001D0154"/>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FA"/>
    <w:rsid w:val="001F1605"/>
    <w:rsid w:val="001F20F3"/>
    <w:rsid w:val="001F2508"/>
    <w:rsid w:val="001F4816"/>
    <w:rsid w:val="001F4EE9"/>
    <w:rsid w:val="001F69B4"/>
    <w:rsid w:val="001F77C7"/>
    <w:rsid w:val="0020003C"/>
    <w:rsid w:val="00200183"/>
    <w:rsid w:val="00200333"/>
    <w:rsid w:val="0020107D"/>
    <w:rsid w:val="00202AA4"/>
    <w:rsid w:val="002031F7"/>
    <w:rsid w:val="002040E6"/>
    <w:rsid w:val="00204936"/>
    <w:rsid w:val="0020527B"/>
    <w:rsid w:val="00205F2C"/>
    <w:rsid w:val="00207C8A"/>
    <w:rsid w:val="00210B15"/>
    <w:rsid w:val="00212875"/>
    <w:rsid w:val="002142EA"/>
    <w:rsid w:val="00214A5C"/>
    <w:rsid w:val="002204BB"/>
    <w:rsid w:val="0022058C"/>
    <w:rsid w:val="00221B79"/>
    <w:rsid w:val="00221C6B"/>
    <w:rsid w:val="002253A1"/>
    <w:rsid w:val="00225CF8"/>
    <w:rsid w:val="0022794E"/>
    <w:rsid w:val="00233D64"/>
    <w:rsid w:val="0023482A"/>
    <w:rsid w:val="002359CB"/>
    <w:rsid w:val="002403AA"/>
    <w:rsid w:val="00243540"/>
    <w:rsid w:val="0024497B"/>
    <w:rsid w:val="0024515B"/>
    <w:rsid w:val="00246021"/>
    <w:rsid w:val="0024666E"/>
    <w:rsid w:val="00247F52"/>
    <w:rsid w:val="00250B25"/>
    <w:rsid w:val="00250BBE"/>
    <w:rsid w:val="002515C2"/>
    <w:rsid w:val="0025194F"/>
    <w:rsid w:val="002546F0"/>
    <w:rsid w:val="00255642"/>
    <w:rsid w:val="0026148A"/>
    <w:rsid w:val="00262696"/>
    <w:rsid w:val="00262F83"/>
    <w:rsid w:val="00263D25"/>
    <w:rsid w:val="002643C3"/>
    <w:rsid w:val="00264A0C"/>
    <w:rsid w:val="00266EEB"/>
    <w:rsid w:val="00267EF4"/>
    <w:rsid w:val="00270707"/>
    <w:rsid w:val="00270CB8"/>
    <w:rsid w:val="002715FF"/>
    <w:rsid w:val="00272B08"/>
    <w:rsid w:val="00281BB8"/>
    <w:rsid w:val="00281E9E"/>
    <w:rsid w:val="00282405"/>
    <w:rsid w:val="0028332D"/>
    <w:rsid w:val="00285170"/>
    <w:rsid w:val="00285361"/>
    <w:rsid w:val="002928E4"/>
    <w:rsid w:val="00292D60"/>
    <w:rsid w:val="00293B30"/>
    <w:rsid w:val="002948D6"/>
    <w:rsid w:val="00294D34"/>
    <w:rsid w:val="00294E3B"/>
    <w:rsid w:val="00296193"/>
    <w:rsid w:val="00296C66"/>
    <w:rsid w:val="00296EBE"/>
    <w:rsid w:val="002974E3"/>
    <w:rsid w:val="002A084B"/>
    <w:rsid w:val="002A1260"/>
    <w:rsid w:val="002A1589"/>
    <w:rsid w:val="002A1608"/>
    <w:rsid w:val="002A2443"/>
    <w:rsid w:val="002A25DC"/>
    <w:rsid w:val="002A3885"/>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2DF"/>
    <w:rsid w:val="002D06C1"/>
    <w:rsid w:val="002D42B5"/>
    <w:rsid w:val="002D4F1A"/>
    <w:rsid w:val="002D548A"/>
    <w:rsid w:val="002D6237"/>
    <w:rsid w:val="002D6EC6"/>
    <w:rsid w:val="002D79AC"/>
    <w:rsid w:val="002E039D"/>
    <w:rsid w:val="002E4D5A"/>
    <w:rsid w:val="002E5530"/>
    <w:rsid w:val="002E6326"/>
    <w:rsid w:val="002F30E0"/>
    <w:rsid w:val="002F35E4"/>
    <w:rsid w:val="002F3730"/>
    <w:rsid w:val="002F38E1"/>
    <w:rsid w:val="002F7AF6"/>
    <w:rsid w:val="00300E63"/>
    <w:rsid w:val="003017D6"/>
    <w:rsid w:val="00302F5F"/>
    <w:rsid w:val="0030441D"/>
    <w:rsid w:val="00306063"/>
    <w:rsid w:val="00310CB6"/>
    <w:rsid w:val="00310EDA"/>
    <w:rsid w:val="00313B85"/>
    <w:rsid w:val="00317988"/>
    <w:rsid w:val="003221B4"/>
    <w:rsid w:val="0032258D"/>
    <w:rsid w:val="00322E62"/>
    <w:rsid w:val="00323428"/>
    <w:rsid w:val="00324D13"/>
    <w:rsid w:val="00324D2A"/>
    <w:rsid w:val="00324EDD"/>
    <w:rsid w:val="00331A95"/>
    <w:rsid w:val="0033241A"/>
    <w:rsid w:val="003331E4"/>
    <w:rsid w:val="003346C5"/>
    <w:rsid w:val="0033655A"/>
    <w:rsid w:val="00336C64"/>
    <w:rsid w:val="00337162"/>
    <w:rsid w:val="0034194F"/>
    <w:rsid w:val="00344605"/>
    <w:rsid w:val="00345224"/>
    <w:rsid w:val="003474AA"/>
    <w:rsid w:val="003509B4"/>
    <w:rsid w:val="00350D1D"/>
    <w:rsid w:val="00352B66"/>
    <w:rsid w:val="00352C83"/>
    <w:rsid w:val="0035587D"/>
    <w:rsid w:val="00355C68"/>
    <w:rsid w:val="00357DFC"/>
    <w:rsid w:val="003615D2"/>
    <w:rsid w:val="00362046"/>
    <w:rsid w:val="00362C7B"/>
    <w:rsid w:val="0036429C"/>
    <w:rsid w:val="00364A53"/>
    <w:rsid w:val="003654CB"/>
    <w:rsid w:val="00365AA9"/>
    <w:rsid w:val="00365F86"/>
    <w:rsid w:val="00365F87"/>
    <w:rsid w:val="003662F0"/>
    <w:rsid w:val="00366E89"/>
    <w:rsid w:val="003705F4"/>
    <w:rsid w:val="00370D58"/>
    <w:rsid w:val="00371316"/>
    <w:rsid w:val="00376713"/>
    <w:rsid w:val="00376991"/>
    <w:rsid w:val="00380453"/>
    <w:rsid w:val="00381815"/>
    <w:rsid w:val="003819AF"/>
    <w:rsid w:val="003820E9"/>
    <w:rsid w:val="00382DE7"/>
    <w:rsid w:val="0038418F"/>
    <w:rsid w:val="00384FFC"/>
    <w:rsid w:val="003870E2"/>
    <w:rsid w:val="003872FC"/>
    <w:rsid w:val="00387ADC"/>
    <w:rsid w:val="00390020"/>
    <w:rsid w:val="003903D6"/>
    <w:rsid w:val="00390EE6"/>
    <w:rsid w:val="0039118F"/>
    <w:rsid w:val="00392AD7"/>
    <w:rsid w:val="003938D9"/>
    <w:rsid w:val="00394376"/>
    <w:rsid w:val="003943FF"/>
    <w:rsid w:val="00395700"/>
    <w:rsid w:val="00395A6C"/>
    <w:rsid w:val="003974EB"/>
    <w:rsid w:val="00397CC5"/>
    <w:rsid w:val="003A1479"/>
    <w:rsid w:val="003A1582"/>
    <w:rsid w:val="003A4077"/>
    <w:rsid w:val="003B09AD"/>
    <w:rsid w:val="003B1F18"/>
    <w:rsid w:val="003B283B"/>
    <w:rsid w:val="003B28DB"/>
    <w:rsid w:val="003B5BF0"/>
    <w:rsid w:val="003B6057"/>
    <w:rsid w:val="003B60BF"/>
    <w:rsid w:val="003B6BE3"/>
    <w:rsid w:val="003C010C"/>
    <w:rsid w:val="003C0A6C"/>
    <w:rsid w:val="003C14F8"/>
    <w:rsid w:val="003C5A43"/>
    <w:rsid w:val="003D0519"/>
    <w:rsid w:val="003D0FF6"/>
    <w:rsid w:val="003D2550"/>
    <w:rsid w:val="003D262C"/>
    <w:rsid w:val="003D505B"/>
    <w:rsid w:val="003D6747"/>
    <w:rsid w:val="003D6B42"/>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028"/>
    <w:rsid w:val="00404869"/>
    <w:rsid w:val="00405884"/>
    <w:rsid w:val="00407D39"/>
    <w:rsid w:val="004105E5"/>
    <w:rsid w:val="004134BE"/>
    <w:rsid w:val="0041477A"/>
    <w:rsid w:val="004167A3"/>
    <w:rsid w:val="004209A7"/>
    <w:rsid w:val="00421017"/>
    <w:rsid w:val="00424F1B"/>
    <w:rsid w:val="00426152"/>
    <w:rsid w:val="0042665F"/>
    <w:rsid w:val="00432DAA"/>
    <w:rsid w:val="00434305"/>
    <w:rsid w:val="004356A0"/>
    <w:rsid w:val="00435DF7"/>
    <w:rsid w:val="0044083F"/>
    <w:rsid w:val="00441AE7"/>
    <w:rsid w:val="00443C61"/>
    <w:rsid w:val="00445574"/>
    <w:rsid w:val="00445A03"/>
    <w:rsid w:val="004467FB"/>
    <w:rsid w:val="00447138"/>
    <w:rsid w:val="004512DA"/>
    <w:rsid w:val="00452CBF"/>
    <w:rsid w:val="00452D6B"/>
    <w:rsid w:val="00454484"/>
    <w:rsid w:val="00454567"/>
    <w:rsid w:val="0045517B"/>
    <w:rsid w:val="00455528"/>
    <w:rsid w:val="004614D1"/>
    <w:rsid w:val="00463331"/>
    <w:rsid w:val="00463B77"/>
    <w:rsid w:val="00463C7B"/>
    <w:rsid w:val="004644A6"/>
    <w:rsid w:val="00465590"/>
    <w:rsid w:val="004659BD"/>
    <w:rsid w:val="004678EC"/>
    <w:rsid w:val="00470775"/>
    <w:rsid w:val="00473AE7"/>
    <w:rsid w:val="004746B1"/>
    <w:rsid w:val="00475707"/>
    <w:rsid w:val="0047583F"/>
    <w:rsid w:val="00475DE8"/>
    <w:rsid w:val="00481C44"/>
    <w:rsid w:val="004831FF"/>
    <w:rsid w:val="00484936"/>
    <w:rsid w:val="00485C89"/>
    <w:rsid w:val="00486BE3"/>
    <w:rsid w:val="004905E4"/>
    <w:rsid w:val="00490A89"/>
    <w:rsid w:val="00490AB4"/>
    <w:rsid w:val="00492F02"/>
    <w:rsid w:val="004939AE"/>
    <w:rsid w:val="00494DE4"/>
    <w:rsid w:val="00495262"/>
    <w:rsid w:val="004A12DF"/>
    <w:rsid w:val="004A17E6"/>
    <w:rsid w:val="004A1BA8"/>
    <w:rsid w:val="004A4B57"/>
    <w:rsid w:val="004A63FA"/>
    <w:rsid w:val="004B0272"/>
    <w:rsid w:val="004B2701"/>
    <w:rsid w:val="004B2814"/>
    <w:rsid w:val="004B2E1B"/>
    <w:rsid w:val="004B3AA8"/>
    <w:rsid w:val="004B3E93"/>
    <w:rsid w:val="004C1FBC"/>
    <w:rsid w:val="004C3F1D"/>
    <w:rsid w:val="004C458D"/>
    <w:rsid w:val="004C5DF8"/>
    <w:rsid w:val="004C7556"/>
    <w:rsid w:val="004C7E8B"/>
    <w:rsid w:val="004C7E9D"/>
    <w:rsid w:val="004C7F67"/>
    <w:rsid w:val="004D076D"/>
    <w:rsid w:val="004D0EF1"/>
    <w:rsid w:val="004D110A"/>
    <w:rsid w:val="004D1C5E"/>
    <w:rsid w:val="004D2201"/>
    <w:rsid w:val="004D2253"/>
    <w:rsid w:val="004D23A5"/>
    <w:rsid w:val="004D262B"/>
    <w:rsid w:val="004D4406"/>
    <w:rsid w:val="004D7B19"/>
    <w:rsid w:val="004D7C42"/>
    <w:rsid w:val="004E0465"/>
    <w:rsid w:val="004E127B"/>
    <w:rsid w:val="004E1C0A"/>
    <w:rsid w:val="004E2B06"/>
    <w:rsid w:val="004E30C5"/>
    <w:rsid w:val="004E4391"/>
    <w:rsid w:val="004E4AA5"/>
    <w:rsid w:val="004E4AEE"/>
    <w:rsid w:val="004E59E3"/>
    <w:rsid w:val="004E67C0"/>
    <w:rsid w:val="004E6B59"/>
    <w:rsid w:val="004E7FCD"/>
    <w:rsid w:val="004F391A"/>
    <w:rsid w:val="004F3CFB"/>
    <w:rsid w:val="004F48F8"/>
    <w:rsid w:val="004F4EA2"/>
    <w:rsid w:val="004F6456"/>
    <w:rsid w:val="004F696E"/>
    <w:rsid w:val="004F6C71"/>
    <w:rsid w:val="00501139"/>
    <w:rsid w:val="0050363E"/>
    <w:rsid w:val="005039BC"/>
    <w:rsid w:val="005043BB"/>
    <w:rsid w:val="00504A3D"/>
    <w:rsid w:val="00504CAD"/>
    <w:rsid w:val="00505767"/>
    <w:rsid w:val="00506B7F"/>
    <w:rsid w:val="005073F0"/>
    <w:rsid w:val="00510A7B"/>
    <w:rsid w:val="00512F6E"/>
    <w:rsid w:val="00513038"/>
    <w:rsid w:val="00514174"/>
    <w:rsid w:val="00516088"/>
    <w:rsid w:val="00516B0B"/>
    <w:rsid w:val="0051799D"/>
    <w:rsid w:val="005220EC"/>
    <w:rsid w:val="00523F95"/>
    <w:rsid w:val="00524D65"/>
    <w:rsid w:val="00525B16"/>
    <w:rsid w:val="00525E00"/>
    <w:rsid w:val="005309B6"/>
    <w:rsid w:val="00533D04"/>
    <w:rsid w:val="00534804"/>
    <w:rsid w:val="00534BDF"/>
    <w:rsid w:val="005354EA"/>
    <w:rsid w:val="0053585F"/>
    <w:rsid w:val="00535EC4"/>
    <w:rsid w:val="00535ED9"/>
    <w:rsid w:val="0053692B"/>
    <w:rsid w:val="00541853"/>
    <w:rsid w:val="00542D22"/>
    <w:rsid w:val="00543BDA"/>
    <w:rsid w:val="00543CDE"/>
    <w:rsid w:val="005441CC"/>
    <w:rsid w:val="005479DA"/>
    <w:rsid w:val="00547BCC"/>
    <w:rsid w:val="0055013B"/>
    <w:rsid w:val="00551F6F"/>
    <w:rsid w:val="00553AA3"/>
    <w:rsid w:val="00555044"/>
    <w:rsid w:val="0056119A"/>
    <w:rsid w:val="00561475"/>
    <w:rsid w:val="0056487B"/>
    <w:rsid w:val="00564FB9"/>
    <w:rsid w:val="005671B3"/>
    <w:rsid w:val="0057267E"/>
    <w:rsid w:val="00573D9E"/>
    <w:rsid w:val="00574097"/>
    <w:rsid w:val="005801E3"/>
    <w:rsid w:val="00581802"/>
    <w:rsid w:val="005836A8"/>
    <w:rsid w:val="005838E7"/>
    <w:rsid w:val="0058409C"/>
    <w:rsid w:val="00584262"/>
    <w:rsid w:val="005849E2"/>
    <w:rsid w:val="005858FD"/>
    <w:rsid w:val="00586630"/>
    <w:rsid w:val="00587ADD"/>
    <w:rsid w:val="00590397"/>
    <w:rsid w:val="0059120F"/>
    <w:rsid w:val="00591E27"/>
    <w:rsid w:val="00591EE3"/>
    <w:rsid w:val="00596160"/>
    <w:rsid w:val="005966E2"/>
    <w:rsid w:val="00597007"/>
    <w:rsid w:val="0059786F"/>
    <w:rsid w:val="005A0966"/>
    <w:rsid w:val="005A11B7"/>
    <w:rsid w:val="005A260B"/>
    <w:rsid w:val="005A4A1B"/>
    <w:rsid w:val="005A7463"/>
    <w:rsid w:val="005A7830"/>
    <w:rsid w:val="005A7FCE"/>
    <w:rsid w:val="005B0F3F"/>
    <w:rsid w:val="005B12BB"/>
    <w:rsid w:val="005B4903"/>
    <w:rsid w:val="005B51CE"/>
    <w:rsid w:val="005B5885"/>
    <w:rsid w:val="005B5CD7"/>
    <w:rsid w:val="005B6CF6"/>
    <w:rsid w:val="005B7422"/>
    <w:rsid w:val="005C1D6B"/>
    <w:rsid w:val="005C240D"/>
    <w:rsid w:val="005C29B8"/>
    <w:rsid w:val="005C2C49"/>
    <w:rsid w:val="005C3477"/>
    <w:rsid w:val="005C3CB4"/>
    <w:rsid w:val="005C5F21"/>
    <w:rsid w:val="005C7156"/>
    <w:rsid w:val="005D0C75"/>
    <w:rsid w:val="005D1042"/>
    <w:rsid w:val="005D23FE"/>
    <w:rsid w:val="005D4171"/>
    <w:rsid w:val="005D6A95"/>
    <w:rsid w:val="005D6B2C"/>
    <w:rsid w:val="005D6D9C"/>
    <w:rsid w:val="005E071D"/>
    <w:rsid w:val="005E0FD8"/>
    <w:rsid w:val="005E2335"/>
    <w:rsid w:val="005E3487"/>
    <w:rsid w:val="005E34CA"/>
    <w:rsid w:val="005E355D"/>
    <w:rsid w:val="005E3C18"/>
    <w:rsid w:val="005E6812"/>
    <w:rsid w:val="005E7881"/>
    <w:rsid w:val="005E78E0"/>
    <w:rsid w:val="005F0D9C"/>
    <w:rsid w:val="005F1791"/>
    <w:rsid w:val="005F284E"/>
    <w:rsid w:val="005F4712"/>
    <w:rsid w:val="005F7D03"/>
    <w:rsid w:val="006015CE"/>
    <w:rsid w:val="00602BC2"/>
    <w:rsid w:val="00604784"/>
    <w:rsid w:val="00606419"/>
    <w:rsid w:val="006064BB"/>
    <w:rsid w:val="006071E0"/>
    <w:rsid w:val="00607C6B"/>
    <w:rsid w:val="00607D29"/>
    <w:rsid w:val="00612952"/>
    <w:rsid w:val="00613C32"/>
    <w:rsid w:val="00614CC1"/>
    <w:rsid w:val="00615A9D"/>
    <w:rsid w:val="00617387"/>
    <w:rsid w:val="00617881"/>
    <w:rsid w:val="006205D6"/>
    <w:rsid w:val="00620771"/>
    <w:rsid w:val="00622FEE"/>
    <w:rsid w:val="00624804"/>
    <w:rsid w:val="006252D8"/>
    <w:rsid w:val="006259BC"/>
    <w:rsid w:val="0062636B"/>
    <w:rsid w:val="00626A44"/>
    <w:rsid w:val="00627368"/>
    <w:rsid w:val="00632182"/>
    <w:rsid w:val="00632AE0"/>
    <w:rsid w:val="00633C17"/>
    <w:rsid w:val="00634D9E"/>
    <w:rsid w:val="00636E3E"/>
    <w:rsid w:val="006379F7"/>
    <w:rsid w:val="00637E4D"/>
    <w:rsid w:val="00640620"/>
    <w:rsid w:val="00641A1F"/>
    <w:rsid w:val="0064359C"/>
    <w:rsid w:val="00645904"/>
    <w:rsid w:val="00650F7B"/>
    <w:rsid w:val="00651ACB"/>
    <w:rsid w:val="00651C47"/>
    <w:rsid w:val="00652A5B"/>
    <w:rsid w:val="00652AB2"/>
    <w:rsid w:val="0065372A"/>
    <w:rsid w:val="00653FED"/>
    <w:rsid w:val="00654EC0"/>
    <w:rsid w:val="006551B4"/>
    <w:rsid w:val="0065525B"/>
    <w:rsid w:val="00655D4F"/>
    <w:rsid w:val="00656D29"/>
    <w:rsid w:val="006572D2"/>
    <w:rsid w:val="00660347"/>
    <w:rsid w:val="006640E5"/>
    <w:rsid w:val="006646F1"/>
    <w:rsid w:val="00664929"/>
    <w:rsid w:val="00664F62"/>
    <w:rsid w:val="006655E1"/>
    <w:rsid w:val="00672060"/>
    <w:rsid w:val="00672BFD"/>
    <w:rsid w:val="00677052"/>
    <w:rsid w:val="006770F4"/>
    <w:rsid w:val="00677A84"/>
    <w:rsid w:val="0068026D"/>
    <w:rsid w:val="00680A27"/>
    <w:rsid w:val="006816A4"/>
    <w:rsid w:val="006819B8"/>
    <w:rsid w:val="00684015"/>
    <w:rsid w:val="006840A6"/>
    <w:rsid w:val="006850CD"/>
    <w:rsid w:val="00685AAB"/>
    <w:rsid w:val="00695D22"/>
    <w:rsid w:val="006968A5"/>
    <w:rsid w:val="006A07AA"/>
    <w:rsid w:val="006A1623"/>
    <w:rsid w:val="006A25E5"/>
    <w:rsid w:val="006A2B46"/>
    <w:rsid w:val="006A336D"/>
    <w:rsid w:val="006A37B9"/>
    <w:rsid w:val="006B2672"/>
    <w:rsid w:val="006B36F3"/>
    <w:rsid w:val="006B4370"/>
    <w:rsid w:val="006B54BF"/>
    <w:rsid w:val="006B5ABE"/>
    <w:rsid w:val="006B5F44"/>
    <w:rsid w:val="006B5F90"/>
    <w:rsid w:val="006B62E4"/>
    <w:rsid w:val="006B7094"/>
    <w:rsid w:val="006C1BBA"/>
    <w:rsid w:val="006C2079"/>
    <w:rsid w:val="006C5A62"/>
    <w:rsid w:val="006C5D68"/>
    <w:rsid w:val="006C6976"/>
    <w:rsid w:val="006C6DD0"/>
    <w:rsid w:val="006D04EA"/>
    <w:rsid w:val="006D14D6"/>
    <w:rsid w:val="006D16C4"/>
    <w:rsid w:val="006D36A5"/>
    <w:rsid w:val="006D3E96"/>
    <w:rsid w:val="006D4515"/>
    <w:rsid w:val="006D4BB1"/>
    <w:rsid w:val="006D6593"/>
    <w:rsid w:val="006E23EA"/>
    <w:rsid w:val="006E5954"/>
    <w:rsid w:val="006F001C"/>
    <w:rsid w:val="006F03A8"/>
    <w:rsid w:val="006F2860"/>
    <w:rsid w:val="006F2ACA"/>
    <w:rsid w:val="006F2ADC"/>
    <w:rsid w:val="006F2BFE"/>
    <w:rsid w:val="006F31E9"/>
    <w:rsid w:val="006F4671"/>
    <w:rsid w:val="006F6284"/>
    <w:rsid w:val="006F72FE"/>
    <w:rsid w:val="007002C5"/>
    <w:rsid w:val="00704387"/>
    <w:rsid w:val="00707669"/>
    <w:rsid w:val="00711CBA"/>
    <w:rsid w:val="00711FB5"/>
    <w:rsid w:val="0071212A"/>
    <w:rsid w:val="00712A01"/>
    <w:rsid w:val="00713726"/>
    <w:rsid w:val="00714F58"/>
    <w:rsid w:val="00717A15"/>
    <w:rsid w:val="00722716"/>
    <w:rsid w:val="00722FBF"/>
    <w:rsid w:val="00722FC2"/>
    <w:rsid w:val="00723DA4"/>
    <w:rsid w:val="00724879"/>
    <w:rsid w:val="00724E1B"/>
    <w:rsid w:val="00725949"/>
    <w:rsid w:val="0072669E"/>
    <w:rsid w:val="00727FA2"/>
    <w:rsid w:val="007322D9"/>
    <w:rsid w:val="00732BC0"/>
    <w:rsid w:val="00732EE1"/>
    <w:rsid w:val="00732FDD"/>
    <w:rsid w:val="0073720F"/>
    <w:rsid w:val="00737796"/>
    <w:rsid w:val="0074165C"/>
    <w:rsid w:val="00742495"/>
    <w:rsid w:val="00742C35"/>
    <w:rsid w:val="007432CA"/>
    <w:rsid w:val="007439EB"/>
    <w:rsid w:val="00743CB4"/>
    <w:rsid w:val="00743F0A"/>
    <w:rsid w:val="007444E8"/>
    <w:rsid w:val="0074548E"/>
    <w:rsid w:val="00745773"/>
    <w:rsid w:val="00746800"/>
    <w:rsid w:val="007501A8"/>
    <w:rsid w:val="00750D61"/>
    <w:rsid w:val="00750EE1"/>
    <w:rsid w:val="00751800"/>
    <w:rsid w:val="00752B4D"/>
    <w:rsid w:val="007549E7"/>
    <w:rsid w:val="00755402"/>
    <w:rsid w:val="00756B26"/>
    <w:rsid w:val="00756EDF"/>
    <w:rsid w:val="007600E3"/>
    <w:rsid w:val="00761745"/>
    <w:rsid w:val="00763CA3"/>
    <w:rsid w:val="00764CCF"/>
    <w:rsid w:val="00765C43"/>
    <w:rsid w:val="00765EFB"/>
    <w:rsid w:val="007671CA"/>
    <w:rsid w:val="00767C61"/>
    <w:rsid w:val="0077008A"/>
    <w:rsid w:val="00770D3B"/>
    <w:rsid w:val="00772702"/>
    <w:rsid w:val="00772A1A"/>
    <w:rsid w:val="00773C1F"/>
    <w:rsid w:val="00774BB8"/>
    <w:rsid w:val="00774DA4"/>
    <w:rsid w:val="00776398"/>
    <w:rsid w:val="00776599"/>
    <w:rsid w:val="0078114B"/>
    <w:rsid w:val="00781DD2"/>
    <w:rsid w:val="00783ECF"/>
    <w:rsid w:val="0078413A"/>
    <w:rsid w:val="007959E8"/>
    <w:rsid w:val="00795E9C"/>
    <w:rsid w:val="00796ECA"/>
    <w:rsid w:val="00797338"/>
    <w:rsid w:val="007A0521"/>
    <w:rsid w:val="007A2DDD"/>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432"/>
    <w:rsid w:val="007C4593"/>
    <w:rsid w:val="007C47DB"/>
    <w:rsid w:val="007C5309"/>
    <w:rsid w:val="007C6069"/>
    <w:rsid w:val="007C60B1"/>
    <w:rsid w:val="007D044D"/>
    <w:rsid w:val="007D06C4"/>
    <w:rsid w:val="007D1352"/>
    <w:rsid w:val="007D2508"/>
    <w:rsid w:val="007D346A"/>
    <w:rsid w:val="007D6518"/>
    <w:rsid w:val="007D6EE9"/>
    <w:rsid w:val="007D76BD"/>
    <w:rsid w:val="007E0BF1"/>
    <w:rsid w:val="007E3A03"/>
    <w:rsid w:val="007E3E01"/>
    <w:rsid w:val="007F0ED8"/>
    <w:rsid w:val="007F0F63"/>
    <w:rsid w:val="007F5787"/>
    <w:rsid w:val="007F6BFD"/>
    <w:rsid w:val="007F75CE"/>
    <w:rsid w:val="008013A4"/>
    <w:rsid w:val="008027CE"/>
    <w:rsid w:val="00802F42"/>
    <w:rsid w:val="00804383"/>
    <w:rsid w:val="00804BB7"/>
    <w:rsid w:val="00804D41"/>
    <w:rsid w:val="00806467"/>
    <w:rsid w:val="008066A2"/>
    <w:rsid w:val="00810257"/>
    <w:rsid w:val="008104F5"/>
    <w:rsid w:val="00811072"/>
    <w:rsid w:val="00811369"/>
    <w:rsid w:val="0081152B"/>
    <w:rsid w:val="00815419"/>
    <w:rsid w:val="008163C8"/>
    <w:rsid w:val="008164A1"/>
    <w:rsid w:val="00817325"/>
    <w:rsid w:val="0082030C"/>
    <w:rsid w:val="008209E6"/>
    <w:rsid w:val="00823303"/>
    <w:rsid w:val="008233B2"/>
    <w:rsid w:val="00823A9F"/>
    <w:rsid w:val="00823C85"/>
    <w:rsid w:val="00825138"/>
    <w:rsid w:val="008269DD"/>
    <w:rsid w:val="00827BAC"/>
    <w:rsid w:val="00830621"/>
    <w:rsid w:val="0083319E"/>
    <w:rsid w:val="0083348C"/>
    <w:rsid w:val="008373D3"/>
    <w:rsid w:val="0084047D"/>
    <w:rsid w:val="00840617"/>
    <w:rsid w:val="00840F84"/>
    <w:rsid w:val="00842A47"/>
    <w:rsid w:val="00842C2B"/>
    <w:rsid w:val="00843C13"/>
    <w:rsid w:val="008454F8"/>
    <w:rsid w:val="0085173A"/>
    <w:rsid w:val="00851F09"/>
    <w:rsid w:val="00851F8E"/>
    <w:rsid w:val="00854BCF"/>
    <w:rsid w:val="00856316"/>
    <w:rsid w:val="00856748"/>
    <w:rsid w:val="008603CE"/>
    <w:rsid w:val="008620FC"/>
    <w:rsid w:val="008627A5"/>
    <w:rsid w:val="00862F59"/>
    <w:rsid w:val="00863E05"/>
    <w:rsid w:val="0086457C"/>
    <w:rsid w:val="00865ACA"/>
    <w:rsid w:val="00865D28"/>
    <w:rsid w:val="00865F85"/>
    <w:rsid w:val="00866DBC"/>
    <w:rsid w:val="00867C10"/>
    <w:rsid w:val="00870439"/>
    <w:rsid w:val="00870BDC"/>
    <w:rsid w:val="00870DA1"/>
    <w:rsid w:val="00871E62"/>
    <w:rsid w:val="00880DB9"/>
    <w:rsid w:val="00882AF5"/>
    <w:rsid w:val="00883F93"/>
    <w:rsid w:val="00884DB3"/>
    <w:rsid w:val="00885A9D"/>
    <w:rsid w:val="00886161"/>
    <w:rsid w:val="008864F6"/>
    <w:rsid w:val="00887958"/>
    <w:rsid w:val="0089049D"/>
    <w:rsid w:val="0089194B"/>
    <w:rsid w:val="00892087"/>
    <w:rsid w:val="008928C9"/>
    <w:rsid w:val="008930CB"/>
    <w:rsid w:val="008938DC"/>
    <w:rsid w:val="00893FD1"/>
    <w:rsid w:val="00894836"/>
    <w:rsid w:val="00895172"/>
    <w:rsid w:val="00895680"/>
    <w:rsid w:val="00896DFF"/>
    <w:rsid w:val="0089762C"/>
    <w:rsid w:val="008A055F"/>
    <w:rsid w:val="008A1893"/>
    <w:rsid w:val="008A3215"/>
    <w:rsid w:val="008A57E6"/>
    <w:rsid w:val="008A6F81"/>
    <w:rsid w:val="008A769A"/>
    <w:rsid w:val="008A7760"/>
    <w:rsid w:val="008B0C9C"/>
    <w:rsid w:val="008B166D"/>
    <w:rsid w:val="008B17F4"/>
    <w:rsid w:val="008B3615"/>
    <w:rsid w:val="008B4AC4"/>
    <w:rsid w:val="008B50C8"/>
    <w:rsid w:val="008B5281"/>
    <w:rsid w:val="008B7E05"/>
    <w:rsid w:val="008C1797"/>
    <w:rsid w:val="008C219C"/>
    <w:rsid w:val="008C475E"/>
    <w:rsid w:val="008C549D"/>
    <w:rsid w:val="008C619A"/>
    <w:rsid w:val="008C6B4D"/>
    <w:rsid w:val="008D0CE8"/>
    <w:rsid w:val="008D14FD"/>
    <w:rsid w:val="008D1E49"/>
    <w:rsid w:val="008D2D1D"/>
    <w:rsid w:val="008D453D"/>
    <w:rsid w:val="008D53AD"/>
    <w:rsid w:val="008D562B"/>
    <w:rsid w:val="008D5733"/>
    <w:rsid w:val="008D622B"/>
    <w:rsid w:val="008D666C"/>
    <w:rsid w:val="008D77C9"/>
    <w:rsid w:val="008D7B54"/>
    <w:rsid w:val="008E0C9D"/>
    <w:rsid w:val="008E1648"/>
    <w:rsid w:val="008E1B3E"/>
    <w:rsid w:val="008E2319"/>
    <w:rsid w:val="008E4BB6"/>
    <w:rsid w:val="008E5518"/>
    <w:rsid w:val="008E6A84"/>
    <w:rsid w:val="008F0CDC"/>
    <w:rsid w:val="008F0CED"/>
    <w:rsid w:val="008F17A3"/>
    <w:rsid w:val="008F1ED3"/>
    <w:rsid w:val="008F23A5"/>
    <w:rsid w:val="008F4C29"/>
    <w:rsid w:val="008F4D5C"/>
    <w:rsid w:val="008F5E35"/>
    <w:rsid w:val="008F70BD"/>
    <w:rsid w:val="008F788F"/>
    <w:rsid w:val="008F7EA2"/>
    <w:rsid w:val="009007D6"/>
    <w:rsid w:val="009026E7"/>
    <w:rsid w:val="00902722"/>
    <w:rsid w:val="009027BC"/>
    <w:rsid w:val="009062E6"/>
    <w:rsid w:val="009076D5"/>
    <w:rsid w:val="00911BE5"/>
    <w:rsid w:val="00913CA9"/>
    <w:rsid w:val="009145AE"/>
    <w:rsid w:val="009146CE"/>
    <w:rsid w:val="00914CA7"/>
    <w:rsid w:val="00915C3E"/>
    <w:rsid w:val="009161A8"/>
    <w:rsid w:val="0092160B"/>
    <w:rsid w:val="009240AB"/>
    <w:rsid w:val="009245F5"/>
    <w:rsid w:val="009249EC"/>
    <w:rsid w:val="00925E0B"/>
    <w:rsid w:val="009272E5"/>
    <w:rsid w:val="009273B3"/>
    <w:rsid w:val="009305B5"/>
    <w:rsid w:val="00934389"/>
    <w:rsid w:val="00936133"/>
    <w:rsid w:val="00936503"/>
    <w:rsid w:val="009416BB"/>
    <w:rsid w:val="00941E0B"/>
    <w:rsid w:val="009429D5"/>
    <w:rsid w:val="00942BF1"/>
    <w:rsid w:val="00945180"/>
    <w:rsid w:val="00945428"/>
    <w:rsid w:val="0094607B"/>
    <w:rsid w:val="00947DCE"/>
    <w:rsid w:val="00951591"/>
    <w:rsid w:val="00953604"/>
    <w:rsid w:val="0095496B"/>
    <w:rsid w:val="00957FDE"/>
    <w:rsid w:val="009610DC"/>
    <w:rsid w:val="00961490"/>
    <w:rsid w:val="00961A48"/>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C98"/>
    <w:rsid w:val="009A21CD"/>
    <w:rsid w:val="009A278C"/>
    <w:rsid w:val="009A2BC2"/>
    <w:rsid w:val="009A42C1"/>
    <w:rsid w:val="009A5429"/>
    <w:rsid w:val="009A580E"/>
    <w:rsid w:val="009A619D"/>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8C7"/>
    <w:rsid w:val="00A10D23"/>
    <w:rsid w:val="00A129D0"/>
    <w:rsid w:val="00A12C33"/>
    <w:rsid w:val="00A138BA"/>
    <w:rsid w:val="00A14C8E"/>
    <w:rsid w:val="00A153D9"/>
    <w:rsid w:val="00A15F09"/>
    <w:rsid w:val="00A169B6"/>
    <w:rsid w:val="00A2271D"/>
    <w:rsid w:val="00A237D5"/>
    <w:rsid w:val="00A30EFC"/>
    <w:rsid w:val="00A31984"/>
    <w:rsid w:val="00A32D73"/>
    <w:rsid w:val="00A3367B"/>
    <w:rsid w:val="00A35942"/>
    <w:rsid w:val="00A3597D"/>
    <w:rsid w:val="00A36DD1"/>
    <w:rsid w:val="00A37CE8"/>
    <w:rsid w:val="00A4006C"/>
    <w:rsid w:val="00A40091"/>
    <w:rsid w:val="00A4030F"/>
    <w:rsid w:val="00A41C79"/>
    <w:rsid w:val="00A41CB5"/>
    <w:rsid w:val="00A42CDF"/>
    <w:rsid w:val="00A42FFE"/>
    <w:rsid w:val="00A4452E"/>
    <w:rsid w:val="00A4472C"/>
    <w:rsid w:val="00A44E69"/>
    <w:rsid w:val="00A4661E"/>
    <w:rsid w:val="00A53270"/>
    <w:rsid w:val="00A55BD6"/>
    <w:rsid w:val="00A55D50"/>
    <w:rsid w:val="00A5662F"/>
    <w:rsid w:val="00A57142"/>
    <w:rsid w:val="00A648CD"/>
    <w:rsid w:val="00A64C42"/>
    <w:rsid w:val="00A6537A"/>
    <w:rsid w:val="00A67866"/>
    <w:rsid w:val="00A701F5"/>
    <w:rsid w:val="00A70B07"/>
    <w:rsid w:val="00A723F8"/>
    <w:rsid w:val="00A77CCB"/>
    <w:rsid w:val="00A81C55"/>
    <w:rsid w:val="00A825BE"/>
    <w:rsid w:val="00A83D8D"/>
    <w:rsid w:val="00A8446B"/>
    <w:rsid w:val="00A8473F"/>
    <w:rsid w:val="00A862D6"/>
    <w:rsid w:val="00A8715E"/>
    <w:rsid w:val="00A911C1"/>
    <w:rsid w:val="00A9295B"/>
    <w:rsid w:val="00A93B09"/>
    <w:rsid w:val="00A94247"/>
    <w:rsid w:val="00A950CB"/>
    <w:rsid w:val="00A952D7"/>
    <w:rsid w:val="00A963F7"/>
    <w:rsid w:val="00A96507"/>
    <w:rsid w:val="00A96AD8"/>
    <w:rsid w:val="00A96B79"/>
    <w:rsid w:val="00AA052C"/>
    <w:rsid w:val="00AA1E45"/>
    <w:rsid w:val="00AA1EED"/>
    <w:rsid w:val="00AA4286"/>
    <w:rsid w:val="00AA456B"/>
    <w:rsid w:val="00AA57F5"/>
    <w:rsid w:val="00AA635A"/>
    <w:rsid w:val="00AA672E"/>
    <w:rsid w:val="00AA6EC9"/>
    <w:rsid w:val="00AB41D5"/>
    <w:rsid w:val="00AB6309"/>
    <w:rsid w:val="00AB6C5F"/>
    <w:rsid w:val="00AB7129"/>
    <w:rsid w:val="00AC19D9"/>
    <w:rsid w:val="00AC1A03"/>
    <w:rsid w:val="00AC2262"/>
    <w:rsid w:val="00AC27A6"/>
    <w:rsid w:val="00AC30F7"/>
    <w:rsid w:val="00AC3A5A"/>
    <w:rsid w:val="00AC4D95"/>
    <w:rsid w:val="00AC5DF4"/>
    <w:rsid w:val="00AD0AEF"/>
    <w:rsid w:val="00AD11B7"/>
    <w:rsid w:val="00AD1A94"/>
    <w:rsid w:val="00AD1C05"/>
    <w:rsid w:val="00AD39E2"/>
    <w:rsid w:val="00AD4126"/>
    <w:rsid w:val="00AD421C"/>
    <w:rsid w:val="00AD44FA"/>
    <w:rsid w:val="00AD6C4F"/>
    <w:rsid w:val="00AE070A"/>
    <w:rsid w:val="00AE101C"/>
    <w:rsid w:val="00AE1CD8"/>
    <w:rsid w:val="00AE37E5"/>
    <w:rsid w:val="00AE4EEF"/>
    <w:rsid w:val="00AE5EB4"/>
    <w:rsid w:val="00AF07AA"/>
    <w:rsid w:val="00AF0C18"/>
    <w:rsid w:val="00AF30A7"/>
    <w:rsid w:val="00AF47C5"/>
    <w:rsid w:val="00AF5398"/>
    <w:rsid w:val="00AF6166"/>
    <w:rsid w:val="00B049AF"/>
    <w:rsid w:val="00B04FE2"/>
    <w:rsid w:val="00B07242"/>
    <w:rsid w:val="00B10209"/>
    <w:rsid w:val="00B10534"/>
    <w:rsid w:val="00B113DB"/>
    <w:rsid w:val="00B11D8A"/>
    <w:rsid w:val="00B12981"/>
    <w:rsid w:val="00B147DD"/>
    <w:rsid w:val="00B156FD"/>
    <w:rsid w:val="00B179CB"/>
    <w:rsid w:val="00B20431"/>
    <w:rsid w:val="00B2091B"/>
    <w:rsid w:val="00B21F61"/>
    <w:rsid w:val="00B261F1"/>
    <w:rsid w:val="00B265BC"/>
    <w:rsid w:val="00B31FB1"/>
    <w:rsid w:val="00B32770"/>
    <w:rsid w:val="00B32E24"/>
    <w:rsid w:val="00B3391F"/>
    <w:rsid w:val="00B33952"/>
    <w:rsid w:val="00B33C5E"/>
    <w:rsid w:val="00B342F4"/>
    <w:rsid w:val="00B34369"/>
    <w:rsid w:val="00B34DC2"/>
    <w:rsid w:val="00B378E5"/>
    <w:rsid w:val="00B4314B"/>
    <w:rsid w:val="00B4346D"/>
    <w:rsid w:val="00B440F4"/>
    <w:rsid w:val="00B4410E"/>
    <w:rsid w:val="00B447A5"/>
    <w:rsid w:val="00B4654C"/>
    <w:rsid w:val="00B47293"/>
    <w:rsid w:val="00B50E50"/>
    <w:rsid w:val="00B52120"/>
    <w:rsid w:val="00B54ABC"/>
    <w:rsid w:val="00B54DDE"/>
    <w:rsid w:val="00B56FBE"/>
    <w:rsid w:val="00B572E2"/>
    <w:rsid w:val="00B57FFC"/>
    <w:rsid w:val="00B60ACF"/>
    <w:rsid w:val="00B60C9A"/>
    <w:rsid w:val="00B62B58"/>
    <w:rsid w:val="00B64194"/>
    <w:rsid w:val="00B64C24"/>
    <w:rsid w:val="00B65149"/>
    <w:rsid w:val="00B66567"/>
    <w:rsid w:val="00B669ED"/>
    <w:rsid w:val="00B66F52"/>
    <w:rsid w:val="00B66FE5"/>
    <w:rsid w:val="00B72880"/>
    <w:rsid w:val="00B758BF"/>
    <w:rsid w:val="00B759B6"/>
    <w:rsid w:val="00B76D1F"/>
    <w:rsid w:val="00B77EC8"/>
    <w:rsid w:val="00B827A6"/>
    <w:rsid w:val="00B831CE"/>
    <w:rsid w:val="00B83865"/>
    <w:rsid w:val="00B86677"/>
    <w:rsid w:val="00B87131"/>
    <w:rsid w:val="00B939B1"/>
    <w:rsid w:val="00B96D40"/>
    <w:rsid w:val="00B97386"/>
    <w:rsid w:val="00BA263B"/>
    <w:rsid w:val="00BA32C0"/>
    <w:rsid w:val="00BA42B2"/>
    <w:rsid w:val="00BA58D4"/>
    <w:rsid w:val="00BA5B9E"/>
    <w:rsid w:val="00BA79DA"/>
    <w:rsid w:val="00BA7C9A"/>
    <w:rsid w:val="00BB0BAE"/>
    <w:rsid w:val="00BB3867"/>
    <w:rsid w:val="00BB39D6"/>
    <w:rsid w:val="00BB5F8F"/>
    <w:rsid w:val="00BB657A"/>
    <w:rsid w:val="00BB75BA"/>
    <w:rsid w:val="00BC0650"/>
    <w:rsid w:val="00BC1A4E"/>
    <w:rsid w:val="00BC416F"/>
    <w:rsid w:val="00BC5DC7"/>
    <w:rsid w:val="00BC6B8B"/>
    <w:rsid w:val="00BC6BCD"/>
    <w:rsid w:val="00BC705D"/>
    <w:rsid w:val="00BC73D8"/>
    <w:rsid w:val="00BD1CD2"/>
    <w:rsid w:val="00BD52D7"/>
    <w:rsid w:val="00BD5AD2"/>
    <w:rsid w:val="00BD5C17"/>
    <w:rsid w:val="00BE089D"/>
    <w:rsid w:val="00BE22F3"/>
    <w:rsid w:val="00BE4117"/>
    <w:rsid w:val="00BE5B52"/>
    <w:rsid w:val="00BE7B8D"/>
    <w:rsid w:val="00BF0993"/>
    <w:rsid w:val="00BF10A9"/>
    <w:rsid w:val="00BF14A4"/>
    <w:rsid w:val="00BF1703"/>
    <w:rsid w:val="00BF231C"/>
    <w:rsid w:val="00BF51E5"/>
    <w:rsid w:val="00BF74A6"/>
    <w:rsid w:val="00C013AD"/>
    <w:rsid w:val="00C017B2"/>
    <w:rsid w:val="00C02254"/>
    <w:rsid w:val="00C04904"/>
    <w:rsid w:val="00C056B3"/>
    <w:rsid w:val="00C05706"/>
    <w:rsid w:val="00C103E5"/>
    <w:rsid w:val="00C132BE"/>
    <w:rsid w:val="00C13319"/>
    <w:rsid w:val="00C13EE9"/>
    <w:rsid w:val="00C21540"/>
    <w:rsid w:val="00C21906"/>
    <w:rsid w:val="00C21BFA"/>
    <w:rsid w:val="00C22148"/>
    <w:rsid w:val="00C24B0D"/>
    <w:rsid w:val="00C24C8D"/>
    <w:rsid w:val="00C25796"/>
    <w:rsid w:val="00C25FE2"/>
    <w:rsid w:val="00C26B53"/>
    <w:rsid w:val="00C279B2"/>
    <w:rsid w:val="00C33E50"/>
    <w:rsid w:val="00C34C20"/>
    <w:rsid w:val="00C35A3E"/>
    <w:rsid w:val="00C36FD7"/>
    <w:rsid w:val="00C37105"/>
    <w:rsid w:val="00C401C7"/>
    <w:rsid w:val="00C41113"/>
    <w:rsid w:val="00C42130"/>
    <w:rsid w:val="00C423A4"/>
    <w:rsid w:val="00C44BF5"/>
    <w:rsid w:val="00C47176"/>
    <w:rsid w:val="00C47DA5"/>
    <w:rsid w:val="00C5071B"/>
    <w:rsid w:val="00C514D7"/>
    <w:rsid w:val="00C521D6"/>
    <w:rsid w:val="00C55232"/>
    <w:rsid w:val="00C553A4"/>
    <w:rsid w:val="00C55A06"/>
    <w:rsid w:val="00C55D03"/>
    <w:rsid w:val="00C601BC"/>
    <w:rsid w:val="00C60FEF"/>
    <w:rsid w:val="00C6245E"/>
    <w:rsid w:val="00C6329F"/>
    <w:rsid w:val="00C63340"/>
    <w:rsid w:val="00C643F9"/>
    <w:rsid w:val="00C64E95"/>
    <w:rsid w:val="00C6742C"/>
    <w:rsid w:val="00C71372"/>
    <w:rsid w:val="00C72155"/>
    <w:rsid w:val="00C72410"/>
    <w:rsid w:val="00C7287F"/>
    <w:rsid w:val="00C80CB8"/>
    <w:rsid w:val="00C819F8"/>
    <w:rsid w:val="00C8248C"/>
    <w:rsid w:val="00C84E33"/>
    <w:rsid w:val="00C86D6F"/>
    <w:rsid w:val="00C905FC"/>
    <w:rsid w:val="00C92D03"/>
    <w:rsid w:val="00C9319C"/>
    <w:rsid w:val="00C9402F"/>
    <w:rsid w:val="00C9435D"/>
    <w:rsid w:val="00C94DF2"/>
    <w:rsid w:val="00C953C1"/>
    <w:rsid w:val="00C95B92"/>
    <w:rsid w:val="00C96741"/>
    <w:rsid w:val="00CA2D1B"/>
    <w:rsid w:val="00CA375D"/>
    <w:rsid w:val="00CA662A"/>
    <w:rsid w:val="00CA7AFD"/>
    <w:rsid w:val="00CA7C3C"/>
    <w:rsid w:val="00CB0189"/>
    <w:rsid w:val="00CB0BA2"/>
    <w:rsid w:val="00CB1A42"/>
    <w:rsid w:val="00CB1B0C"/>
    <w:rsid w:val="00CB2C0B"/>
    <w:rsid w:val="00CB517D"/>
    <w:rsid w:val="00CB549A"/>
    <w:rsid w:val="00CB6F9D"/>
    <w:rsid w:val="00CB7C37"/>
    <w:rsid w:val="00CC038D"/>
    <w:rsid w:val="00CC08DB"/>
    <w:rsid w:val="00CC1668"/>
    <w:rsid w:val="00CC39FF"/>
    <w:rsid w:val="00CC3C2F"/>
    <w:rsid w:val="00CC4AC8"/>
    <w:rsid w:val="00CC5233"/>
    <w:rsid w:val="00CC5DE6"/>
    <w:rsid w:val="00CC6E4E"/>
    <w:rsid w:val="00CC6FE8"/>
    <w:rsid w:val="00CC7202"/>
    <w:rsid w:val="00CD1F09"/>
    <w:rsid w:val="00CD2808"/>
    <w:rsid w:val="00CD28BF"/>
    <w:rsid w:val="00CD4092"/>
    <w:rsid w:val="00CD4A20"/>
    <w:rsid w:val="00CD50A1"/>
    <w:rsid w:val="00CD519E"/>
    <w:rsid w:val="00CE0C4F"/>
    <w:rsid w:val="00CE30EA"/>
    <w:rsid w:val="00CE4679"/>
    <w:rsid w:val="00CE70E4"/>
    <w:rsid w:val="00CF048A"/>
    <w:rsid w:val="00CF0986"/>
    <w:rsid w:val="00CF155A"/>
    <w:rsid w:val="00CF2947"/>
    <w:rsid w:val="00CF4487"/>
    <w:rsid w:val="00CF6537"/>
    <w:rsid w:val="00CF686F"/>
    <w:rsid w:val="00CF6E60"/>
    <w:rsid w:val="00CF7BCA"/>
    <w:rsid w:val="00D008FD"/>
    <w:rsid w:val="00D00EC3"/>
    <w:rsid w:val="00D015D4"/>
    <w:rsid w:val="00D01785"/>
    <w:rsid w:val="00D0321C"/>
    <w:rsid w:val="00D035EC"/>
    <w:rsid w:val="00D06AB1"/>
    <w:rsid w:val="00D072ED"/>
    <w:rsid w:val="00D07A16"/>
    <w:rsid w:val="00D1067E"/>
    <w:rsid w:val="00D10F50"/>
    <w:rsid w:val="00D11272"/>
    <w:rsid w:val="00D126F5"/>
    <w:rsid w:val="00D141C5"/>
    <w:rsid w:val="00D1489E"/>
    <w:rsid w:val="00D1566E"/>
    <w:rsid w:val="00D20737"/>
    <w:rsid w:val="00D21E81"/>
    <w:rsid w:val="00D223DE"/>
    <w:rsid w:val="00D25E37"/>
    <w:rsid w:val="00D2661A"/>
    <w:rsid w:val="00D26CDC"/>
    <w:rsid w:val="00D27582"/>
    <w:rsid w:val="00D27EC4"/>
    <w:rsid w:val="00D32186"/>
    <w:rsid w:val="00D32719"/>
    <w:rsid w:val="00D33333"/>
    <w:rsid w:val="00D33457"/>
    <w:rsid w:val="00D352A2"/>
    <w:rsid w:val="00D371B9"/>
    <w:rsid w:val="00D4162B"/>
    <w:rsid w:val="00D4514F"/>
    <w:rsid w:val="00D451E2"/>
    <w:rsid w:val="00D45E89"/>
    <w:rsid w:val="00D45E8D"/>
    <w:rsid w:val="00D466AE"/>
    <w:rsid w:val="00D4734F"/>
    <w:rsid w:val="00D47949"/>
    <w:rsid w:val="00D50953"/>
    <w:rsid w:val="00D518A1"/>
    <w:rsid w:val="00D51BF3"/>
    <w:rsid w:val="00D55AC7"/>
    <w:rsid w:val="00D64A3E"/>
    <w:rsid w:val="00D66846"/>
    <w:rsid w:val="00D675FB"/>
    <w:rsid w:val="00D71F25"/>
    <w:rsid w:val="00D72A9C"/>
    <w:rsid w:val="00D77031"/>
    <w:rsid w:val="00D81CD7"/>
    <w:rsid w:val="00D84941"/>
    <w:rsid w:val="00D84FA1"/>
    <w:rsid w:val="00D851F0"/>
    <w:rsid w:val="00D86DB7"/>
    <w:rsid w:val="00D926D0"/>
    <w:rsid w:val="00D93030"/>
    <w:rsid w:val="00D94584"/>
    <w:rsid w:val="00D950E1"/>
    <w:rsid w:val="00D952A6"/>
    <w:rsid w:val="00D96C5B"/>
    <w:rsid w:val="00D97F99"/>
    <w:rsid w:val="00DA1E08"/>
    <w:rsid w:val="00DA24F8"/>
    <w:rsid w:val="00DA28E8"/>
    <w:rsid w:val="00DA38D3"/>
    <w:rsid w:val="00DA3932"/>
    <w:rsid w:val="00DA3AFC"/>
    <w:rsid w:val="00DA4202"/>
    <w:rsid w:val="00DA64F8"/>
    <w:rsid w:val="00DA6C15"/>
    <w:rsid w:val="00DB0258"/>
    <w:rsid w:val="00DB38EE"/>
    <w:rsid w:val="00DB498B"/>
    <w:rsid w:val="00DB66CA"/>
    <w:rsid w:val="00DB6BCA"/>
    <w:rsid w:val="00DB70B4"/>
    <w:rsid w:val="00DB73F7"/>
    <w:rsid w:val="00DB7EBA"/>
    <w:rsid w:val="00DC0321"/>
    <w:rsid w:val="00DC2A81"/>
    <w:rsid w:val="00DC3067"/>
    <w:rsid w:val="00DC370B"/>
    <w:rsid w:val="00DC5B90"/>
    <w:rsid w:val="00DC67B6"/>
    <w:rsid w:val="00DD00FF"/>
    <w:rsid w:val="00DD0619"/>
    <w:rsid w:val="00DD07FB"/>
    <w:rsid w:val="00DD25C6"/>
    <w:rsid w:val="00DD3FC7"/>
    <w:rsid w:val="00DD4FE5"/>
    <w:rsid w:val="00DD54B0"/>
    <w:rsid w:val="00DD57EE"/>
    <w:rsid w:val="00DD6BCC"/>
    <w:rsid w:val="00DE0A4B"/>
    <w:rsid w:val="00DE2410"/>
    <w:rsid w:val="00DE2939"/>
    <w:rsid w:val="00DE4E70"/>
    <w:rsid w:val="00DE6E81"/>
    <w:rsid w:val="00DE703F"/>
    <w:rsid w:val="00DE7595"/>
    <w:rsid w:val="00DF1961"/>
    <w:rsid w:val="00DF44DE"/>
    <w:rsid w:val="00DF5F11"/>
    <w:rsid w:val="00DF7308"/>
    <w:rsid w:val="00E01138"/>
    <w:rsid w:val="00E026E0"/>
    <w:rsid w:val="00E02DFB"/>
    <w:rsid w:val="00E030F9"/>
    <w:rsid w:val="00E0311A"/>
    <w:rsid w:val="00E03138"/>
    <w:rsid w:val="00E03C8C"/>
    <w:rsid w:val="00E06404"/>
    <w:rsid w:val="00E11A85"/>
    <w:rsid w:val="00E1228E"/>
    <w:rsid w:val="00E12495"/>
    <w:rsid w:val="00E13CAF"/>
    <w:rsid w:val="00E15CCD"/>
    <w:rsid w:val="00E17A1B"/>
    <w:rsid w:val="00E202EF"/>
    <w:rsid w:val="00E210B5"/>
    <w:rsid w:val="00E21F59"/>
    <w:rsid w:val="00E23D99"/>
    <w:rsid w:val="00E2552F"/>
    <w:rsid w:val="00E3137A"/>
    <w:rsid w:val="00E32CCF"/>
    <w:rsid w:val="00E346C3"/>
    <w:rsid w:val="00E34A98"/>
    <w:rsid w:val="00E35D1E"/>
    <w:rsid w:val="00E35F89"/>
    <w:rsid w:val="00E364F9"/>
    <w:rsid w:val="00E365FA"/>
    <w:rsid w:val="00E36789"/>
    <w:rsid w:val="00E44A83"/>
    <w:rsid w:val="00E502C1"/>
    <w:rsid w:val="00E502DD"/>
    <w:rsid w:val="00E50D3A"/>
    <w:rsid w:val="00E51387"/>
    <w:rsid w:val="00E51E68"/>
    <w:rsid w:val="00E52EFD"/>
    <w:rsid w:val="00E53802"/>
    <w:rsid w:val="00E5408A"/>
    <w:rsid w:val="00E54EFB"/>
    <w:rsid w:val="00E56800"/>
    <w:rsid w:val="00E57042"/>
    <w:rsid w:val="00E5755F"/>
    <w:rsid w:val="00E577BE"/>
    <w:rsid w:val="00E60C63"/>
    <w:rsid w:val="00E62FF9"/>
    <w:rsid w:val="00E635D6"/>
    <w:rsid w:val="00E639BC"/>
    <w:rsid w:val="00E63E1F"/>
    <w:rsid w:val="00E664CC"/>
    <w:rsid w:val="00E70388"/>
    <w:rsid w:val="00E70F92"/>
    <w:rsid w:val="00E74A24"/>
    <w:rsid w:val="00E74C54"/>
    <w:rsid w:val="00E7539B"/>
    <w:rsid w:val="00E77A03"/>
    <w:rsid w:val="00E822E8"/>
    <w:rsid w:val="00E82554"/>
    <w:rsid w:val="00E82606"/>
    <w:rsid w:val="00E843EB"/>
    <w:rsid w:val="00E846C8"/>
    <w:rsid w:val="00E84957"/>
    <w:rsid w:val="00E84A55"/>
    <w:rsid w:val="00E85BFF"/>
    <w:rsid w:val="00E90391"/>
    <w:rsid w:val="00E906C2"/>
    <w:rsid w:val="00E90C6C"/>
    <w:rsid w:val="00E92549"/>
    <w:rsid w:val="00E9311F"/>
    <w:rsid w:val="00E934D1"/>
    <w:rsid w:val="00E93F7B"/>
    <w:rsid w:val="00E94AF0"/>
    <w:rsid w:val="00E953CA"/>
    <w:rsid w:val="00E95D13"/>
    <w:rsid w:val="00E95DD3"/>
    <w:rsid w:val="00E969D5"/>
    <w:rsid w:val="00EA0AE2"/>
    <w:rsid w:val="00EA58D1"/>
    <w:rsid w:val="00EA61BC"/>
    <w:rsid w:val="00EA681A"/>
    <w:rsid w:val="00EA735B"/>
    <w:rsid w:val="00EB17DE"/>
    <w:rsid w:val="00EB1E69"/>
    <w:rsid w:val="00EB2086"/>
    <w:rsid w:val="00EB518D"/>
    <w:rsid w:val="00EB5EDF"/>
    <w:rsid w:val="00EB60FE"/>
    <w:rsid w:val="00EB74DB"/>
    <w:rsid w:val="00EC5359"/>
    <w:rsid w:val="00EC562A"/>
    <w:rsid w:val="00EC6DF8"/>
    <w:rsid w:val="00ED067A"/>
    <w:rsid w:val="00ED2B50"/>
    <w:rsid w:val="00ED2D36"/>
    <w:rsid w:val="00ED38C4"/>
    <w:rsid w:val="00ED404B"/>
    <w:rsid w:val="00EE0350"/>
    <w:rsid w:val="00EE0719"/>
    <w:rsid w:val="00EE0E80"/>
    <w:rsid w:val="00EE12C0"/>
    <w:rsid w:val="00EE301F"/>
    <w:rsid w:val="00EE3178"/>
    <w:rsid w:val="00EE54A6"/>
    <w:rsid w:val="00EE571B"/>
    <w:rsid w:val="00EE613F"/>
    <w:rsid w:val="00EE7295"/>
    <w:rsid w:val="00EE7869"/>
    <w:rsid w:val="00EF054A"/>
    <w:rsid w:val="00EF3235"/>
    <w:rsid w:val="00EF3E99"/>
    <w:rsid w:val="00EF60CD"/>
    <w:rsid w:val="00EF7E72"/>
    <w:rsid w:val="00F06D37"/>
    <w:rsid w:val="00F07B9D"/>
    <w:rsid w:val="00F11586"/>
    <w:rsid w:val="00F1183B"/>
    <w:rsid w:val="00F11C9F"/>
    <w:rsid w:val="00F12263"/>
    <w:rsid w:val="00F1409D"/>
    <w:rsid w:val="00F14214"/>
    <w:rsid w:val="00F157A9"/>
    <w:rsid w:val="00F15A91"/>
    <w:rsid w:val="00F16082"/>
    <w:rsid w:val="00F23C38"/>
    <w:rsid w:val="00F25BB6"/>
    <w:rsid w:val="00F26B7E"/>
    <w:rsid w:val="00F27A3B"/>
    <w:rsid w:val="00F27F5F"/>
    <w:rsid w:val="00F33817"/>
    <w:rsid w:val="00F35F6B"/>
    <w:rsid w:val="00F40C84"/>
    <w:rsid w:val="00F420D5"/>
    <w:rsid w:val="00F451EA"/>
    <w:rsid w:val="00F45447"/>
    <w:rsid w:val="00F456C6"/>
    <w:rsid w:val="00F4577B"/>
    <w:rsid w:val="00F46496"/>
    <w:rsid w:val="00F474D0"/>
    <w:rsid w:val="00F47578"/>
    <w:rsid w:val="00F50179"/>
    <w:rsid w:val="00F515EE"/>
    <w:rsid w:val="00F53D9A"/>
    <w:rsid w:val="00F56511"/>
    <w:rsid w:val="00F6194E"/>
    <w:rsid w:val="00F623AC"/>
    <w:rsid w:val="00F6412A"/>
    <w:rsid w:val="00F65893"/>
    <w:rsid w:val="00F66A4A"/>
    <w:rsid w:val="00F71E22"/>
    <w:rsid w:val="00F72142"/>
    <w:rsid w:val="00F72AE7"/>
    <w:rsid w:val="00F762C3"/>
    <w:rsid w:val="00F81141"/>
    <w:rsid w:val="00F833BA"/>
    <w:rsid w:val="00F84712"/>
    <w:rsid w:val="00F84FD0"/>
    <w:rsid w:val="00F859A8"/>
    <w:rsid w:val="00F86D87"/>
    <w:rsid w:val="00F86F70"/>
    <w:rsid w:val="00F908EF"/>
    <w:rsid w:val="00F9108B"/>
    <w:rsid w:val="00F9121C"/>
    <w:rsid w:val="00F91349"/>
    <w:rsid w:val="00F92901"/>
    <w:rsid w:val="00F93A8A"/>
    <w:rsid w:val="00F95248"/>
    <w:rsid w:val="00F956A9"/>
    <w:rsid w:val="00F963ED"/>
    <w:rsid w:val="00F966CF"/>
    <w:rsid w:val="00F96CAE"/>
    <w:rsid w:val="00F97C99"/>
    <w:rsid w:val="00FA0DF9"/>
    <w:rsid w:val="00FA3F0C"/>
    <w:rsid w:val="00FA4DAC"/>
    <w:rsid w:val="00FA662D"/>
    <w:rsid w:val="00FA73B1"/>
    <w:rsid w:val="00FA7538"/>
    <w:rsid w:val="00FB0CB9"/>
    <w:rsid w:val="00FB231D"/>
    <w:rsid w:val="00FB45F1"/>
    <w:rsid w:val="00FB4A72"/>
    <w:rsid w:val="00FB54E8"/>
    <w:rsid w:val="00FB7054"/>
    <w:rsid w:val="00FC17B7"/>
    <w:rsid w:val="00FC2CB7"/>
    <w:rsid w:val="00FC3806"/>
    <w:rsid w:val="00FC4090"/>
    <w:rsid w:val="00FC55B4"/>
    <w:rsid w:val="00FD00E6"/>
    <w:rsid w:val="00FD09A1"/>
    <w:rsid w:val="00FD2A7C"/>
    <w:rsid w:val="00FD59EB"/>
    <w:rsid w:val="00FD6EDD"/>
    <w:rsid w:val="00FD7299"/>
    <w:rsid w:val="00FE141D"/>
    <w:rsid w:val="00FE1732"/>
    <w:rsid w:val="00FE1FBE"/>
    <w:rsid w:val="00FE207D"/>
    <w:rsid w:val="00FE3212"/>
    <w:rsid w:val="00FE3901"/>
    <w:rsid w:val="00FE39D3"/>
    <w:rsid w:val="00FE4689"/>
    <w:rsid w:val="00FE4AA1"/>
    <w:rsid w:val="00FE4BCE"/>
    <w:rsid w:val="00FE54AE"/>
    <w:rsid w:val="00FE576A"/>
    <w:rsid w:val="00FE59E1"/>
    <w:rsid w:val="00FE7E79"/>
    <w:rsid w:val="00FF3E7D"/>
    <w:rsid w:val="00FF5B99"/>
    <w:rsid w:val="00FF730C"/>
    <w:rsid w:val="00FF73F4"/>
    <w:rsid w:val="00FF7CE4"/>
    <w:rsid w:val="00FF7E39"/>
    <w:rsid w:val="01761032"/>
    <w:rsid w:val="0273374F"/>
    <w:rsid w:val="053E190F"/>
    <w:rsid w:val="06D81947"/>
    <w:rsid w:val="0972111F"/>
    <w:rsid w:val="09C34AED"/>
    <w:rsid w:val="10D15EED"/>
    <w:rsid w:val="10FE24F4"/>
    <w:rsid w:val="14672C68"/>
    <w:rsid w:val="16E407B7"/>
    <w:rsid w:val="173A1022"/>
    <w:rsid w:val="17502751"/>
    <w:rsid w:val="18582414"/>
    <w:rsid w:val="187325D8"/>
    <w:rsid w:val="19763B7B"/>
    <w:rsid w:val="1C511810"/>
    <w:rsid w:val="1D972EC8"/>
    <w:rsid w:val="1DBF198A"/>
    <w:rsid w:val="249549A2"/>
    <w:rsid w:val="26AF0423"/>
    <w:rsid w:val="28451F7F"/>
    <w:rsid w:val="2B2F2683"/>
    <w:rsid w:val="2C585D00"/>
    <w:rsid w:val="36B97ADD"/>
    <w:rsid w:val="39B366B6"/>
    <w:rsid w:val="3C485B8B"/>
    <w:rsid w:val="3D4B1090"/>
    <w:rsid w:val="3DBD6A47"/>
    <w:rsid w:val="44A8409C"/>
    <w:rsid w:val="451A24E3"/>
    <w:rsid w:val="46394FC6"/>
    <w:rsid w:val="5122640D"/>
    <w:rsid w:val="51834F68"/>
    <w:rsid w:val="5392250B"/>
    <w:rsid w:val="579714C5"/>
    <w:rsid w:val="59865AC4"/>
    <w:rsid w:val="5A36306F"/>
    <w:rsid w:val="5D125B37"/>
    <w:rsid w:val="61E82692"/>
    <w:rsid w:val="634836C3"/>
    <w:rsid w:val="66AD3645"/>
    <w:rsid w:val="69914E82"/>
    <w:rsid w:val="6A3F7091"/>
    <w:rsid w:val="6F7D1326"/>
    <w:rsid w:val="716167CC"/>
    <w:rsid w:val="76BD26F7"/>
    <w:rsid w:val="77BB09C0"/>
    <w:rsid w:val="79627236"/>
    <w:rsid w:val="7A54301F"/>
    <w:rsid w:val="7EB34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pPr>
      <w:tabs>
        <w:tab w:val="right" w:leader="dot" w:pos="9344"/>
      </w:tabs>
    </w:pPr>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5"/>
    <w:semiHidden/>
    <w:unhideWhenUsed/>
    <w:qFormat/>
    <w:uiPriority w:val="99"/>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rFonts w:ascii="Times New Roman" w:hAnsi="Times New Roman" w:eastAsia="宋体" w:cs="Times New Roman"/>
      <w:b/>
      <w:bCs/>
      <w:kern w:val="44"/>
      <w:sz w:val="44"/>
      <w:szCs w:val="44"/>
    </w:rPr>
  </w:style>
  <w:style w:type="character" w:customStyle="1" w:styleId="38">
    <w:name w:val="标题 2 字符"/>
    <w:link w:val="3"/>
    <w:qFormat/>
    <w:uiPriority w:val="0"/>
    <w:rPr>
      <w:rFonts w:ascii="Arial" w:hAnsi="Arial" w:eastAsia="黑体" w:cs="Times New Roman"/>
      <w:b/>
      <w:bCs/>
      <w:sz w:val="32"/>
      <w:szCs w:val="32"/>
    </w:rPr>
  </w:style>
  <w:style w:type="character" w:customStyle="1" w:styleId="39">
    <w:name w:val="标题 3 字符"/>
    <w:link w:val="4"/>
    <w:qFormat/>
    <w:uiPriority w:val="0"/>
    <w:rPr>
      <w:rFonts w:ascii="Times New Roman" w:hAnsi="Times New Roman" w:eastAsia="宋体" w:cs="Times New Roman"/>
      <w:b/>
      <w:bCs/>
      <w:sz w:val="32"/>
      <w:szCs w:val="32"/>
    </w:rPr>
  </w:style>
  <w:style w:type="character" w:customStyle="1" w:styleId="40">
    <w:name w:val="标题 4 字符"/>
    <w:link w:val="5"/>
    <w:qFormat/>
    <w:uiPriority w:val="0"/>
    <w:rPr>
      <w:rFonts w:ascii="Arial" w:hAnsi="Arial" w:eastAsia="黑体" w:cs="Times New Roman"/>
      <w:b/>
      <w:bCs/>
      <w:sz w:val="28"/>
      <w:szCs w:val="28"/>
    </w:rPr>
  </w:style>
  <w:style w:type="character" w:customStyle="1" w:styleId="41">
    <w:name w:val="标题 5 字符"/>
    <w:link w:val="6"/>
    <w:qFormat/>
    <w:uiPriority w:val="0"/>
    <w:rPr>
      <w:rFonts w:ascii="Times New Roman" w:hAnsi="Times New Roman" w:eastAsia="宋体" w:cs="Times New Roman"/>
      <w:b/>
      <w:bCs/>
      <w:sz w:val="28"/>
      <w:szCs w:val="28"/>
    </w:rPr>
  </w:style>
  <w:style w:type="character" w:customStyle="1" w:styleId="42">
    <w:name w:val="标题 6 字符"/>
    <w:link w:val="7"/>
    <w:qFormat/>
    <w:uiPriority w:val="0"/>
    <w:rPr>
      <w:rFonts w:ascii="Arial" w:hAnsi="Arial" w:eastAsia="黑体" w:cs="Times New Roman"/>
      <w:b/>
      <w:bCs/>
      <w:sz w:val="24"/>
      <w:szCs w:val="24"/>
    </w:rPr>
  </w:style>
  <w:style w:type="character" w:customStyle="1" w:styleId="43">
    <w:name w:val="标题 7 字符"/>
    <w:link w:val="8"/>
    <w:qFormat/>
    <w:uiPriority w:val="0"/>
    <w:rPr>
      <w:rFonts w:ascii="Times New Roman" w:hAnsi="Times New Roman" w:eastAsia="宋体" w:cs="Times New Roman"/>
      <w:b/>
      <w:bCs/>
      <w:sz w:val="24"/>
      <w:szCs w:val="24"/>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题 9 字符"/>
    <w:link w:val="10"/>
    <w:qFormat/>
    <w:uiPriority w:val="0"/>
    <w:rPr>
      <w:rFonts w:ascii="Arial" w:hAnsi="Arial" w:eastAsia="黑体" w:cs="Times New Roman"/>
      <w:szCs w:val="21"/>
    </w:rPr>
  </w:style>
  <w:style w:type="character" w:customStyle="1" w:styleId="46">
    <w:name w:val="页眉 字符"/>
    <w:link w:val="19"/>
    <w:qFormat/>
    <w:uiPriority w:val="99"/>
    <w:rPr>
      <w:rFonts w:ascii="Times New Roman" w:hAnsi="Times New Roman" w:eastAsia="宋体" w:cs="Times New Roman"/>
      <w:sz w:val="18"/>
      <w:szCs w:val="18"/>
    </w:rPr>
  </w:style>
  <w:style w:type="character" w:customStyle="1" w:styleId="47">
    <w:name w:val="页脚 字符"/>
    <w:link w:val="18"/>
    <w:qFormat/>
    <w:uiPriority w:val="99"/>
    <w:rPr>
      <w:rFonts w:ascii="宋体" w:hAnsi="Times New Roman" w:eastAsia="宋体" w:cs="Times New Roman"/>
      <w:sz w:val="18"/>
      <w:szCs w:val="18"/>
    </w:rPr>
  </w:style>
  <w:style w:type="character" w:customStyle="1" w:styleId="48">
    <w:name w:val="批注框文本 字符"/>
    <w:link w:val="17"/>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rPr>
  </w:style>
  <w:style w:type="character" w:customStyle="1" w:styleId="51">
    <w:name w:val="标题 字符"/>
    <w:link w:val="26"/>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qFormat/>
    <w:uiPriority w:val="0"/>
    <w:pPr>
      <w:spacing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ind w:left="0"/>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hAnsi="Times New Roman" w:eastAsia="宋体" w:cs="Times New Roman"/>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ind w:left="5246"/>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next w:val="59"/>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styleId="233">
    <w:name w:val="List Paragraph"/>
    <w:basedOn w:val="1"/>
    <w:qFormat/>
    <w:uiPriority w:val="34"/>
    <w:pPr>
      <w:adjustRightInd/>
      <w:spacing w:line="240" w:lineRule="auto"/>
      <w:ind w:firstLine="420" w:firstLineChars="200"/>
    </w:pPr>
    <w:rPr>
      <w:rFonts w:ascii="Times New Roman" w:hAnsi="Times New Roman"/>
      <w:szCs w:val="24"/>
    </w:rPr>
  </w:style>
  <w:style w:type="character" w:customStyle="1" w:styleId="234">
    <w:name w:val="批注文字 字符"/>
    <w:basedOn w:val="30"/>
    <w:link w:val="13"/>
    <w:semiHidden/>
    <w:qFormat/>
    <w:uiPriority w:val="99"/>
    <w:rPr>
      <w:kern w:val="2"/>
      <w:sz w:val="21"/>
      <w:szCs w:val="21"/>
    </w:rPr>
  </w:style>
  <w:style w:type="character" w:customStyle="1" w:styleId="235">
    <w:name w:val="批注主题 字符"/>
    <w:basedOn w:val="234"/>
    <w:link w:val="27"/>
    <w:semiHidden/>
    <w:qFormat/>
    <w:uiPriority w:val="99"/>
    <w:rPr>
      <w:b/>
      <w:bCs/>
      <w:kern w:val="2"/>
      <w:sz w:val="21"/>
      <w:szCs w:val="21"/>
    </w:rPr>
  </w:style>
  <w:style w:type="paragraph" w:customStyle="1" w:styleId="236">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7">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3.jpeg"/><Relationship Id="rId26" Type="http://schemas.openxmlformats.org/officeDocument/2006/relationships/image" Target="media/image2.jpeg"/><Relationship Id="rId25" Type="http://schemas.openxmlformats.org/officeDocument/2006/relationships/image" Target="media/image1.tiff"/><Relationship Id="rId24" Type="http://schemas.openxmlformats.org/officeDocument/2006/relationships/theme" Target="theme/theme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0C0AB28EC8A4301A234ECB54CD4A17D"/>
        <w:style w:val=""/>
        <w:category>
          <w:name w:val="常规"/>
          <w:gallery w:val="placeholder"/>
        </w:category>
        <w:types>
          <w:type w:val="bbPlcHdr"/>
        </w:types>
        <w:behaviors>
          <w:behavior w:val="content"/>
        </w:behaviors>
        <w:description w:val=""/>
        <w:guid w:val="{A8FBE885-D811-41DC-82F8-D46DF373FF0A}"/>
      </w:docPartPr>
      <w:docPartBody>
        <w:p>
          <w:pPr>
            <w:pStyle w:val="5"/>
          </w:pPr>
          <w:r>
            <w:rPr>
              <w:rStyle w:val="4"/>
              <w:rFonts w:hint="eastAsia"/>
            </w:rPr>
            <w:t>单击或点击此处输入文字。</w:t>
          </w:r>
        </w:p>
      </w:docPartBody>
    </w:docPart>
    <w:docPart>
      <w:docPartPr>
        <w:name w:val="1EC234DE236A4708870A78BE98D8FAE4"/>
        <w:style w:val=""/>
        <w:category>
          <w:name w:val="常规"/>
          <w:gallery w:val="placeholder"/>
        </w:category>
        <w:types>
          <w:type w:val="bbPlcHdr"/>
        </w:types>
        <w:behaviors>
          <w:behavior w:val="content"/>
        </w:behaviors>
        <w:description w:val=""/>
        <w:guid w:val="{4B08998E-0234-4230-9FC6-14A72756C89E}"/>
      </w:docPartPr>
      <w:docPartBody>
        <w:p>
          <w:pPr>
            <w:pStyle w:val="6"/>
          </w:pPr>
          <w:r>
            <w:rPr>
              <w:rStyle w:val="4"/>
              <w:rFonts w:hint="eastAsia"/>
            </w:rPr>
            <w:t>选择一项。</w:t>
          </w:r>
        </w:p>
      </w:docPartBody>
    </w:docPart>
    <w:docPart>
      <w:docPartPr>
        <w:name w:val="B6BC0E13884A40629F99CF5986C6009A"/>
        <w:style w:val=""/>
        <w:category>
          <w:name w:val="常规"/>
          <w:gallery w:val="placeholder"/>
        </w:category>
        <w:types>
          <w:type w:val="bbPlcHdr"/>
        </w:types>
        <w:behaviors>
          <w:behavior w:val="content"/>
        </w:behaviors>
        <w:description w:val=""/>
        <w:guid w:val="{76CDAED2-2485-4D5A-8E78-78F68E53461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A5E"/>
    <w:rsid w:val="000C0A9F"/>
    <w:rsid w:val="000C11FD"/>
    <w:rsid w:val="0014527A"/>
    <w:rsid w:val="00160472"/>
    <w:rsid w:val="00195114"/>
    <w:rsid w:val="00227243"/>
    <w:rsid w:val="002666DC"/>
    <w:rsid w:val="002B1513"/>
    <w:rsid w:val="002F1F6F"/>
    <w:rsid w:val="003B4BE6"/>
    <w:rsid w:val="003E347E"/>
    <w:rsid w:val="005110E7"/>
    <w:rsid w:val="00603A5E"/>
    <w:rsid w:val="007367E0"/>
    <w:rsid w:val="0076092F"/>
    <w:rsid w:val="00763FFE"/>
    <w:rsid w:val="00772113"/>
    <w:rsid w:val="007765C8"/>
    <w:rsid w:val="007A222C"/>
    <w:rsid w:val="007B0D47"/>
    <w:rsid w:val="00880319"/>
    <w:rsid w:val="0090166D"/>
    <w:rsid w:val="00A9611A"/>
    <w:rsid w:val="00AA4E54"/>
    <w:rsid w:val="00AC6D70"/>
    <w:rsid w:val="00AD6D9C"/>
    <w:rsid w:val="00AE54C5"/>
    <w:rsid w:val="00BF0E1B"/>
    <w:rsid w:val="00C1095E"/>
    <w:rsid w:val="00C439A5"/>
    <w:rsid w:val="00CC57E4"/>
    <w:rsid w:val="00D44A1A"/>
    <w:rsid w:val="00DE2DF9"/>
    <w:rsid w:val="00E4213E"/>
    <w:rsid w:val="00EB3EFE"/>
    <w:rsid w:val="00EE634F"/>
    <w:rsid w:val="00F05EC2"/>
    <w:rsid w:val="00F6477C"/>
    <w:rsid w:val="00F667E8"/>
    <w:rsid w:val="00FD0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0C0AB28EC8A4301A234ECB54CD4A17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EC234DE236A4708870A78BE98D8FA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6BC0E13884A40629F99CF5986C6009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576EE5-538E-4B7E-980F-D3132F0140AE}">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16</Pages>
  <Words>1866</Words>
  <Characters>10637</Characters>
  <Lines>88</Lines>
  <Paragraphs>24</Paragraphs>
  <TotalTime>5</TotalTime>
  <ScaleCrop>false</ScaleCrop>
  <LinksUpToDate>false</LinksUpToDate>
  <CharactersWithSpaces>12479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2022-06-01T08:03:00Z</dcterms:created>
  <dc:creator>dyy</dc:creator>
  <dc:description>&lt;config cover="true" show_menu="true" version="1.0.0" doctype="SDKXY"&gt;_x000d_
&lt;/config&gt;</dc:description>
  <cp:lastModifiedBy>Autumn</cp:lastModifiedBy>
  <cp:lastPrinted>2022-08-16T01:05:00Z</cp:lastPrinted>
  <dcterms:modified xsi:type="dcterms:W3CDTF">2023-10-29T16:24:21Z</dcterms:modified>
  <dc:title>地方标准</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2052-12.1.0.15712</vt:lpwstr>
  </property>
  <property fmtid="{D5CDD505-2E9C-101B-9397-08002B2CF9AE}" pid="16" name="ICV">
    <vt:lpwstr>251060B43C024D18A0CE7C7747A43A85_13</vt:lpwstr>
  </property>
</Properties>
</file>