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fixed"/>
        <w:tblCellMar>
          <w:top w:w="0" w:type="dxa"/>
          <w:left w:w="0" w:type="dxa"/>
          <w:bottom w:w="0" w:type="dxa"/>
          <w:right w:w="0" w:type="dxa"/>
        </w:tblCellMar>
      </w:tblPr>
      <w:tblGrid>
        <w:gridCol w:w="509"/>
        <w:gridCol w:w="8855"/>
      </w:tblGrid>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39.060 </w:t>
            </w:r>
            <w:r>
              <w:rPr>
                <w:rFonts w:ascii="黑体" w:hAnsi="黑体" w:eastAsia="黑体"/>
                <w:sz w:val="21"/>
                <w:szCs w:val="21"/>
              </w:rPr>
              <w:fldChar w:fldCharType="end"/>
            </w:r>
            <w:bookmarkEnd w:id="0"/>
          </w:p>
        </w:tc>
      </w:tr>
      <w:tr>
        <w:tblPrEx>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D 59</w:t>
            </w:r>
            <w:r>
              <w:rPr>
                <w:rFonts w:ascii="黑体" w:hAnsi="黑体" w:eastAsia="黑体"/>
                <w:sz w:val="21"/>
                <w:szCs w:val="21"/>
              </w:rPr>
              <w:fldChar w:fldCharType="end"/>
            </w:r>
            <w:bookmarkEnd w:id="1"/>
          </w:p>
        </w:tc>
      </w:tr>
    </w:tbl>
    <w:tbl>
      <w:tblPr>
        <w:tblStyle w:val="26"/>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35"/>
              <w:rPr>
                <w:rFonts w:ascii="宋体" w:hAnsi="宋体"/>
                <w:sz w:val="28"/>
                <w:szCs w:val="28"/>
              </w:rPr>
            </w:pPr>
            <w:bookmarkStart w:id="2" w:name="_Hlk26473981"/>
            <w:r>
              <w:drawing>
                <wp:inline distT="0" distB="0" distL="114300" distR="114300">
                  <wp:extent cx="796290" cy="397510"/>
                  <wp:effectExtent l="0" t="0" r="381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4">
                            <a:lum/>
                          </a:blip>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36"/>
        <w:framePr w:w="9639" w:h="624" w:hRule="exact" w:hSpace="181" w:vSpace="181" w:wrap="around" w:vAnchor="page" w:hAnchor="page" w:xAlign="center" w:y="2269" w:anchorLock="1"/>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71"/>
        <w:framePr w:w="9356" w:h="624" w:hRule="exact" w:hSpace="181" w:vSpace="181" w:wrap="around" w:vAnchor="page" w:hAnchor="page" w:x="1419" w:y="3284"/>
      </w:pPr>
      <w:r>
        <w:t>DB</w:t>
      </w:r>
      <w:r>
        <w:rPr>
          <w:sz w:val="15"/>
          <w:szCs w:val="15"/>
        </w:rPr>
        <w:t xml:space="preserve"> </w:t>
      </w:r>
      <w:r>
        <w:fldChar w:fldCharType="begin">
          <w:ffData>
            <w:name w:val="文字1"/>
            <w:enabled/>
            <w:calcOnExit w:val="0"/>
            <w:textInput>
              <w:default w:val="XX/T"/>
            </w:textInput>
          </w:ffData>
        </w:fldChar>
      </w:r>
      <w:bookmarkStart w:id="5" w:name="文字1"/>
      <w:r>
        <w:instrText xml:space="preserve"> FORMTEXT </w:instrText>
      </w:r>
      <w:r>
        <w:fldChar w:fldCharType="separate"/>
      </w:r>
      <w:r>
        <w:t>32/T</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72"/>
        <w:framePr w:w="9356" w:h="624" w:hRule="exact" w:hSpace="181" w:vSpace="181" w:wrap="around" w:vAnchor="page" w:hAnchor="page" w:x="1419" w:y="3284"/>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0" t="0" r="0" b="0"/>
                <wp:wrapNone/>
                <wp:docPr id="1" name="直接连接符 73"/>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73" o:spid="_x0000_s1026" o:spt="20" style="position:absolute;left:0pt;margin-left:70.9pt;margin-top:212.65pt;height:0.05pt;width:481.9pt;mso-position-horizontal-relative:page;mso-position-vertical-relative:page;z-index:251659264;mso-width-relative:page;mso-height-relative:page;" filled="f" stroked="t" coordsize="21600,21600" o:allowoverlap="f" o:gfxdata="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CHfc2AAAAAwBAAAPAAAAAAAAAAEAIAAAACIAAABkcnMvZG93bnJldi54bWxQSwECFAAUAAAACACH&#10;TuJA2B6zZ+sBAADbAwAADgAAAAAAAAABACAAAAAnAQAAZHJzL2Uyb0RvYy54bWxQSwUGAAAAAAYA&#10;BgBZAQAAhAUAAAAA&#10;">
                <v:fill on="f" focussize="0,0"/>
                <v:stroke color="#000000" joinstyle="round"/>
                <v:imagedata o:title=""/>
                <o:lock v:ext="edit" aspectratio="f"/>
              </v:line>
            </w:pict>
          </mc:Fallback>
        </mc:AlternateContent>
      </w:r>
    </w:p>
    <w:p>
      <w:pPr>
        <w:pStyle w:val="36"/>
        <w:framePr w:w="9639" w:h="6976" w:hRule="exact" w:wrap="around" w:vAnchor="page" w:hAnchor="page" w:xAlign="center" w:y="6408" w:anchorLock="1"/>
        <w:jc w:val="center"/>
        <w:rPr>
          <w:rFonts w:ascii="黑体" w:hAnsi="黑体" w:eastAsia="黑体"/>
          <w:b w:val="0"/>
          <w:bCs w:val="0"/>
          <w:w w:val="100"/>
        </w:rPr>
      </w:pPr>
    </w:p>
    <w:p>
      <w:pPr>
        <w:pStyle w:val="173"/>
        <w:framePr w:w="9639" w:h="6974" w:hRule="exact" w:wrap="around" w:vAnchor="page" w:hAnchor="page" w:x="1419" w:y="6408"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梅岭玉鉴定技术规范</w:t>
      </w:r>
      <w:r>
        <w:fldChar w:fldCharType="end"/>
      </w:r>
      <w:bookmarkEnd w:id="9"/>
    </w:p>
    <w:p>
      <w:pPr>
        <w:framePr w:w="9639" w:h="6974" w:hRule="exact" w:wrap="around" w:vAnchor="page" w:hAnchor="page" w:x="1419" w:y="6408" w:anchorLock="1"/>
        <w:ind w:left="-1418"/>
      </w:pPr>
    </w:p>
    <w:p>
      <w:pPr>
        <w:pStyle w:val="106"/>
        <w:framePr w:w="9639" w:h="6974" w:hRule="exact" w:wrap="around" w:vAnchor="page" w:hAnchor="page" w:x="1419" w:y="6408" w:anchorLock="1"/>
        <w:textAlignment w:val="bottom"/>
        <w:rPr>
          <w:rFonts w:hint="eastAsia" w:ascii="黑体" w:hAnsi="黑体" w:eastAsia="黑体"/>
          <w:szCs w:val="28"/>
          <w:lang w:val="en-US" w:eastAsia="zh-CN"/>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Specification of technical identificaion for Meiling </w:t>
      </w:r>
      <w:r>
        <w:rPr>
          <w:rFonts w:hint="eastAsia" w:ascii="黑体" w:hAnsi="黑体" w:eastAsia="黑体"/>
          <w:szCs w:val="28"/>
          <w:lang w:val="en-US" w:eastAsia="zh-CN"/>
        </w:rPr>
        <w:t>Jade</w:t>
      </w:r>
    </w:p>
    <w:p>
      <w:pPr>
        <w:pStyle w:val="10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06"/>
        <w:framePr w:w="9639" w:h="6974" w:hRule="exact" w:wrap="around" w:vAnchor="page" w:hAnchor="page" w:x="1419" w:y="6408" w:anchorLock="1"/>
        <w:textAlignment w:val="bottom"/>
        <w:rPr>
          <w:rFonts w:eastAsia="黑体"/>
          <w:szCs w:val="28"/>
        </w:rPr>
      </w:pPr>
    </w:p>
    <w:p>
      <w:pPr>
        <w:pStyle w:val="10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0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0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69"/>
        <w:framePr w:w="3997" w:h="471" w:hRule="exact" w:vSpace="181" w:wrap="around" w:vAnchor="page" w:hAnchor="page" w:x="1419" w:y="14176" w:anchorLock="1"/>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70"/>
        <w:framePr w:w="3997" w:h="471" w:hRule="exact" w:vSpace="181" w:wrap="around" w:vAnchor="page" w:hAnchor="page" w:xAlign="right" w:y="14176" w:anchorLock="1"/>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30"/>
        <w:framePr w:w="7433" w:h="584" w:hRule="exact" w:hSpace="181" w:vSpace="181" w:wrap="around" w:vAnchor="margin" w:hAnchor="margin" w:xAlign="center" w:y="15027" w:anchorLock="1"/>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635"/>
                <wp:effectExtent l="0" t="0" r="0" b="0"/>
                <wp:wrapNone/>
                <wp:docPr id="2" name="直接连接符 5"/>
                <wp:cNvGraphicFramePr/>
                <a:graphic xmlns:a="http://schemas.openxmlformats.org/drawingml/2006/main">
                  <a:graphicData uri="http://schemas.microsoft.com/office/word/2010/wordprocessingShape">
                    <wps:wsp>
                      <wps:cNvCnPr/>
                      <wps:spPr>
                        <a:xfrm>
                          <a:off x="0" y="0"/>
                          <a:ext cx="612013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5" o:spid="_x0000_s1026" o:spt="20" style="position:absolute;left:0pt;margin-left:70.85pt;margin-top:728.6pt;height:0.05pt;width:481.9pt;mso-position-horizontal-relative:page;mso-position-vertical-relative:page;z-index:251660288;mso-width-relative:page;mso-height-relative:page;" filled="f" stroked="t" coordsize="21600,21600" o:gfxdata="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87P+LNkAAAAOAQAADwAAAAAAAAABACAAAAAiAAAAZHJzL2Rvd25yZXYueG1sUEsBAhQAFAAA&#10;AAgAh07iQLl7TTLuAQAA2gMAAA4AAAAAAAAAAQAgAAAAKAEAAGRycy9lMm9Eb2MueG1sUEsFBgAA&#10;AAAGAAYAWQEAAIgFAAAAAA==&#10;">
                <v:fill on="f" focussize="0,0"/>
                <v:stroke color="#000000" joinstyle="round"/>
                <v:imagedata o:title=""/>
                <o:lock v:ext="edit" aspectratio="f"/>
                <w10:anchorlock/>
              </v:line>
            </w:pict>
          </mc:Fallback>
        </mc:AlternateContent>
      </w:r>
    </w:p>
    <w:p>
      <w:pPr>
        <w:pStyle w:val="75"/>
        <w:spacing w:after="468"/>
      </w:pPr>
      <w:bookmarkStart w:id="21" w:name="BookMark1"/>
      <w:bookmarkStart w:id="22" w:name="_Toc137645704"/>
      <w:r>
        <w:rPr>
          <w:rFonts w:hint="eastAsia"/>
          <w:spacing w:val="320"/>
        </w:rPr>
        <w:t>目</w:t>
      </w:r>
      <w:r>
        <w:rPr>
          <w:rFonts w:hint="eastAsia"/>
        </w:rPr>
        <w:t>次</w:t>
      </w:r>
    </w:p>
    <w:p>
      <w:pPr>
        <w:pStyle w:val="19"/>
        <w:tabs>
          <w:tab w:val="right" w:leader="dot" w:pos="9344"/>
        </w:tabs>
        <w:rPr>
          <w:rFonts w:ascii="等线" w:hAnsi="等线" w:eastAsia="等线" w:cs="黑体"/>
          <w:szCs w:val="22"/>
        </w:rPr>
      </w:pPr>
      <w:r>
        <w:fldChar w:fldCharType="begin"/>
      </w:r>
      <w:r>
        <w:instrText xml:space="preserve"> TOC \o "1-1" \h </w:instrText>
      </w:r>
      <w:r>
        <w:fldChar w:fldCharType="separate"/>
      </w:r>
      <w:r>
        <w:fldChar w:fldCharType="begin"/>
      </w:r>
      <w:r>
        <w:instrText xml:space="preserve"> HYPERLINK \l "_Toc137645738" </w:instrText>
      </w:r>
      <w:r>
        <w:fldChar w:fldCharType="separate"/>
      </w:r>
      <w:r>
        <w:rPr>
          <w:rStyle w:val="32"/>
        </w:rPr>
        <w:t>前言</w:t>
      </w:r>
      <w:r>
        <w:tab/>
      </w:r>
      <w:r>
        <w:fldChar w:fldCharType="begin"/>
      </w:r>
      <w:r>
        <w:instrText xml:space="preserve"> PAGEREF _Toc137645738 \h </w:instrText>
      </w:r>
      <w:r>
        <w:fldChar w:fldCharType="separate"/>
      </w:r>
      <w:r>
        <w:t>II</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"_Toc137645739" </w:instrText>
      </w:r>
      <w:r>
        <w:fldChar w:fldCharType="separate"/>
      </w:r>
      <w:r>
        <w:rPr>
          <w:rStyle w:val="32"/>
        </w:rPr>
        <w:t>1  范围</w:t>
      </w:r>
      <w:r>
        <w:tab/>
      </w:r>
      <w:r>
        <w:fldChar w:fldCharType="begin"/>
      </w:r>
      <w:r>
        <w:instrText xml:space="preserve"> PAGEREF _Toc137645739 \h </w:instrText>
      </w:r>
      <w:r>
        <w:fldChar w:fldCharType="separate"/>
      </w:r>
      <w:r>
        <w:t>1</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"_Toc137645740" </w:instrText>
      </w:r>
      <w:r>
        <w:fldChar w:fldCharType="separate"/>
      </w:r>
      <w:r>
        <w:rPr>
          <w:rStyle w:val="32"/>
        </w:rPr>
        <w:t>2  规范性引用文件</w:t>
      </w:r>
      <w:r>
        <w:tab/>
      </w:r>
      <w:r>
        <w:fldChar w:fldCharType="begin"/>
      </w:r>
      <w:r>
        <w:instrText xml:space="preserve"> PAGEREF _Toc137645740 \h </w:instrText>
      </w:r>
      <w:r>
        <w:fldChar w:fldCharType="separate"/>
      </w:r>
      <w:r>
        <w:t>1</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"_Toc137645741" </w:instrText>
      </w:r>
      <w:r>
        <w:fldChar w:fldCharType="separate"/>
      </w:r>
      <w:r>
        <w:rPr>
          <w:rStyle w:val="32"/>
        </w:rPr>
        <w:t>3  术语和定义</w:t>
      </w:r>
      <w:r>
        <w:tab/>
      </w:r>
      <w:r>
        <w:fldChar w:fldCharType="begin"/>
      </w:r>
      <w:r>
        <w:instrText xml:space="preserve"> PAGEREF _Toc137645741 \h </w:instrText>
      </w:r>
      <w:r>
        <w:fldChar w:fldCharType="separate"/>
      </w:r>
      <w:r>
        <w:t>1</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"_Toc137645742" </w:instrText>
      </w:r>
      <w:r>
        <w:fldChar w:fldCharType="separate"/>
      </w:r>
      <w:r>
        <w:rPr>
          <w:rStyle w:val="32"/>
        </w:rPr>
        <w:t>4  鉴定特征</w:t>
      </w:r>
      <w:r>
        <w:tab/>
      </w:r>
      <w:r>
        <w:fldChar w:fldCharType="begin"/>
      </w:r>
      <w:r>
        <w:instrText xml:space="preserve"> PAGEREF _Toc137645742 \h </w:instrText>
      </w:r>
      <w:r>
        <w:fldChar w:fldCharType="separate"/>
      </w:r>
      <w:r>
        <w:t>1</w:t>
      </w:r>
      <w:r>
        <w:fldChar w:fldCharType="end"/>
      </w:r>
      <w:r>
        <w:fldChar w:fldCharType="end"/>
      </w:r>
    </w:p>
    <w:p>
      <w:pPr>
        <w:pStyle w:val="19"/>
        <w:tabs>
          <w:tab w:val="right" w:leader="dot" w:pos="9344"/>
        </w:tabs>
        <w:rPr>
          <w:rFonts w:ascii="等线" w:hAnsi="等线" w:eastAsia="等线" w:cs="黑体"/>
          <w:color w:val="auto"/>
          <w:szCs w:val="22"/>
        </w:rPr>
      </w:pPr>
      <w:r>
        <w:rPr>
          <w:color w:val="auto"/>
        </w:rPr>
        <w:fldChar w:fldCharType="begin"/>
      </w:r>
      <w:r>
        <w:rPr>
          <w:color w:val="auto"/>
        </w:rPr>
        <w:instrText xml:space="preserve"> HYPERLINK \l "_Toc137645743" </w:instrText>
      </w:r>
      <w:r>
        <w:rPr>
          <w:color w:val="auto"/>
        </w:rPr>
        <w:fldChar w:fldCharType="separate"/>
      </w:r>
      <w:r>
        <w:rPr>
          <w:rStyle w:val="32"/>
          <w:color w:val="auto"/>
        </w:rPr>
        <w:t>5  鉴定项目和方法</w:t>
      </w:r>
      <w:r>
        <w:rPr>
          <w:color w:val="auto"/>
        </w:rPr>
        <w:tab/>
      </w:r>
      <w:r>
        <w:rPr>
          <w:color w:val="auto"/>
        </w:rPr>
        <w:fldChar w:fldCharType="begin"/>
      </w:r>
      <w:r>
        <w:rPr>
          <w:color w:val="auto"/>
        </w:rPr>
        <w:instrText xml:space="preserve"> PAGEREF _Toc137645743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9344"/>
        </w:tabs>
        <w:rPr>
          <w:rFonts w:ascii="等线" w:hAnsi="等线" w:eastAsia="等线" w:cs="黑体"/>
          <w:color w:val="auto"/>
          <w:szCs w:val="22"/>
        </w:rPr>
      </w:pPr>
      <w:r>
        <w:rPr>
          <w:color w:val="auto"/>
        </w:rPr>
        <w:fldChar w:fldCharType="begin"/>
      </w:r>
      <w:r>
        <w:rPr>
          <w:color w:val="auto"/>
        </w:rPr>
        <w:instrText xml:space="preserve"> HYPERLINK \l "_Toc137645744" </w:instrText>
      </w:r>
      <w:r>
        <w:rPr>
          <w:color w:val="auto"/>
        </w:rPr>
        <w:fldChar w:fldCharType="separate"/>
      </w:r>
      <w:r>
        <w:rPr>
          <w:rStyle w:val="32"/>
          <w:color w:val="auto"/>
        </w:rPr>
        <w:t>6  命名规则</w:t>
      </w:r>
      <w:r>
        <w:rPr>
          <w:color w:val="auto"/>
        </w:rPr>
        <w:tab/>
      </w:r>
      <w:r>
        <w:rPr>
          <w:color w:val="auto"/>
        </w:rPr>
        <w:fldChar w:fldCharType="begin"/>
      </w:r>
      <w:r>
        <w:rPr>
          <w:color w:val="auto"/>
        </w:rPr>
        <w:instrText xml:space="preserve"> PAGEREF _Toc137645744 \h </w:instrText>
      </w:r>
      <w:r>
        <w:rPr>
          <w:color w:val="auto"/>
        </w:rPr>
        <w:fldChar w:fldCharType="separate"/>
      </w:r>
      <w:r>
        <w:rPr>
          <w:color w:val="auto"/>
        </w:rPr>
        <w:t>3</w:t>
      </w:r>
      <w:r>
        <w:rPr>
          <w:color w:val="auto"/>
        </w:rPr>
        <w:fldChar w:fldCharType="end"/>
      </w:r>
      <w:r>
        <w:rPr>
          <w:color w:val="auto"/>
        </w:rPr>
        <w:fldChar w:fldCharType="end"/>
      </w:r>
    </w:p>
    <w:p>
      <w:pPr>
        <w:pStyle w:val="19"/>
        <w:tabs>
          <w:tab w:val="right" w:leader="dot" w:pos="9344"/>
        </w:tabs>
        <w:rPr>
          <w:rFonts w:ascii="等线" w:hAnsi="等线" w:eastAsia="等线" w:cs="黑体"/>
          <w:color w:val="auto"/>
          <w:szCs w:val="22"/>
        </w:rPr>
      </w:pPr>
      <w:r>
        <w:rPr>
          <w:color w:val="auto"/>
        </w:rPr>
        <w:fldChar w:fldCharType="begin"/>
      </w:r>
      <w:r>
        <w:rPr>
          <w:color w:val="auto"/>
        </w:rPr>
        <w:instrText xml:space="preserve"> HYPERLINK \l "_Toc137645745" </w:instrText>
      </w:r>
      <w:r>
        <w:rPr>
          <w:color w:val="auto"/>
        </w:rPr>
        <w:fldChar w:fldCharType="separate"/>
      </w:r>
      <w:r>
        <w:rPr>
          <w:rStyle w:val="32"/>
          <w:color w:val="auto"/>
        </w:rPr>
        <w:t>7  鉴定证书</w:t>
      </w:r>
      <w:r>
        <w:rPr>
          <w:color w:val="auto"/>
        </w:rPr>
        <w:tab/>
      </w:r>
      <w:r>
        <w:rPr>
          <w:color w:val="auto"/>
        </w:rPr>
        <w:fldChar w:fldCharType="begin"/>
      </w:r>
      <w:r>
        <w:rPr>
          <w:color w:val="auto"/>
        </w:rPr>
        <w:instrText xml:space="preserve"> PAGEREF _Toc137645745 \h </w:instrText>
      </w:r>
      <w:r>
        <w:rPr>
          <w:color w:val="auto"/>
        </w:rPr>
        <w:fldChar w:fldCharType="separate"/>
      </w:r>
      <w:r>
        <w:rPr>
          <w:color w:val="auto"/>
        </w:rPr>
        <w:t>4</w:t>
      </w:r>
      <w:r>
        <w:rPr>
          <w:color w:val="auto"/>
        </w:rPr>
        <w:fldChar w:fldCharType="end"/>
      </w:r>
      <w:r>
        <w:rPr>
          <w:color w:val="auto"/>
        </w:rPr>
        <w:fldChar w:fldCharType="end"/>
      </w:r>
    </w:p>
    <w:p>
      <w:pPr>
        <w:pStyle w:val="19"/>
        <w:tabs>
          <w:tab w:val="right" w:leader="dot" w:pos="9344"/>
        </w:tabs>
        <w:rPr>
          <w:rFonts w:ascii="等线" w:hAnsi="等线" w:eastAsia="等线" w:cs="黑体"/>
          <w:color w:val="auto"/>
          <w:szCs w:val="22"/>
        </w:rPr>
      </w:pPr>
      <w:r>
        <w:rPr>
          <w:color w:val="auto"/>
        </w:rPr>
        <w:fldChar w:fldCharType="begin"/>
      </w:r>
      <w:r>
        <w:rPr>
          <w:color w:val="auto"/>
        </w:rPr>
        <w:instrText xml:space="preserve"> HYPERLINK \l "_Toc137645746" </w:instrText>
      </w:r>
      <w:r>
        <w:rPr>
          <w:color w:val="auto"/>
        </w:rPr>
        <w:fldChar w:fldCharType="separate"/>
      </w:r>
      <w:r>
        <w:rPr>
          <w:rStyle w:val="32"/>
          <w:color w:val="auto"/>
        </w:rPr>
        <w:t>附录A（资料性）  梅岭玉化学成分</w:t>
      </w:r>
      <w:r>
        <w:rPr>
          <w:rStyle w:val="32"/>
          <w:rFonts w:hint="eastAsia"/>
          <w:color w:val="auto"/>
        </w:rPr>
        <w:t>及其透闪石晶体化学式</w:t>
      </w:r>
      <w:r>
        <w:rPr>
          <w:color w:val="auto"/>
        </w:rPr>
        <w:tab/>
      </w:r>
      <w:r>
        <w:rPr>
          <w:color w:val="auto"/>
        </w:rPr>
        <w:fldChar w:fldCharType="begin"/>
      </w:r>
      <w:r>
        <w:rPr>
          <w:color w:val="auto"/>
        </w:rPr>
        <w:instrText xml:space="preserve"> PAGEREF _Toc137645746 \h </w:instrText>
      </w:r>
      <w:r>
        <w:rPr>
          <w:color w:val="auto"/>
        </w:rPr>
        <w:fldChar w:fldCharType="separate"/>
      </w:r>
      <w:r>
        <w:rPr>
          <w:color w:val="auto"/>
        </w:rPr>
        <w:t>5</w:t>
      </w:r>
      <w:r>
        <w:rPr>
          <w:color w:val="auto"/>
        </w:rPr>
        <w:fldChar w:fldCharType="end"/>
      </w:r>
      <w:r>
        <w:rPr>
          <w:color w:val="auto"/>
        </w:rPr>
        <w:fldChar w:fldCharType="end"/>
      </w:r>
    </w:p>
    <w:p>
      <w:pPr>
        <w:pStyle w:val="19"/>
        <w:tabs>
          <w:tab w:val="right" w:leader="dot" w:pos="9344"/>
        </w:tabs>
        <w:rPr>
          <w:rFonts w:ascii="等线" w:hAnsi="等线" w:eastAsia="等线" w:cs="黑体"/>
          <w:szCs w:val="22"/>
        </w:rPr>
      </w:pPr>
      <w:r>
        <w:rPr>
          <w:color w:val="auto"/>
        </w:rPr>
        <w:fldChar w:fldCharType="begin"/>
      </w:r>
      <w:r>
        <w:rPr>
          <w:color w:val="auto"/>
        </w:rPr>
        <w:instrText xml:space="preserve"> HYPERLINK \l "_Toc137645747" </w:instrText>
      </w:r>
      <w:r>
        <w:rPr>
          <w:color w:val="auto"/>
        </w:rPr>
        <w:fldChar w:fldCharType="separate"/>
      </w:r>
      <w:r>
        <w:rPr>
          <w:rStyle w:val="32"/>
          <w:color w:val="auto"/>
        </w:rPr>
        <w:t>附录B（资料性）  梅岭玉红外吸收光谱</w:t>
      </w:r>
      <w:r>
        <w:rPr>
          <w:color w:val="auto"/>
        </w:rPr>
        <w:tab/>
      </w:r>
      <w:r>
        <w:rPr>
          <w:color w:val="auto"/>
        </w:rPr>
        <w:fldChar w:fldCharType="begin"/>
      </w:r>
      <w:r>
        <w:rPr>
          <w:color w:val="auto"/>
        </w:rPr>
        <w:instrText xml:space="preserve"> PAGEREF _Toc137645747 \h </w:instrText>
      </w:r>
      <w:r>
        <w:rPr>
          <w:color w:val="auto"/>
        </w:rPr>
        <w:fldChar w:fldCharType="separate"/>
      </w:r>
      <w:r>
        <w:rPr>
          <w:color w:val="auto"/>
        </w:rPr>
        <w:t>6</w:t>
      </w:r>
      <w:r>
        <w:rPr>
          <w:color w:val="auto"/>
        </w:rPr>
        <w:fldChar w:fldCharType="end"/>
      </w:r>
      <w:r>
        <w:rPr>
          <w:color w:val="auto"/>
        </w:rPr>
        <w:fldChar w:fldCharType="end"/>
      </w:r>
    </w:p>
    <w:p>
      <w:pPr>
        <w:pStyle w:val="19"/>
        <w:tabs>
          <w:tab w:val="right" w:leader="dot" w:pos="9344"/>
        </w:tabs>
        <w:rPr>
          <w:rFonts w:ascii="等线" w:hAnsi="等线" w:eastAsia="等线" w:cs="黑体"/>
          <w:szCs w:val="22"/>
        </w:rPr>
      </w:pPr>
      <w:r>
        <w:fldChar w:fldCharType="begin"/>
      </w:r>
      <w:r>
        <w:instrText xml:space="preserve"> HYPERLINK \l "_Toc137645748" </w:instrText>
      </w:r>
      <w:r>
        <w:fldChar w:fldCharType="separate"/>
      </w:r>
      <w:r>
        <w:rPr>
          <w:rStyle w:val="32"/>
        </w:rPr>
        <w:t>附录C（资料性）  梅岭玉激光拉曼光谱</w:t>
      </w:r>
      <w:r>
        <w:tab/>
      </w:r>
      <w:r>
        <w:fldChar w:fldCharType="begin"/>
      </w:r>
      <w:r>
        <w:instrText xml:space="preserve"> PAGEREF _Toc137645748 \h </w:instrText>
      </w:r>
      <w:r>
        <w:fldChar w:fldCharType="separate"/>
      </w:r>
      <w:r>
        <w:t>7</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"_Toc137645749" </w:instrText>
      </w:r>
      <w:r>
        <w:fldChar w:fldCharType="separate"/>
      </w:r>
      <w:r>
        <w:rPr>
          <w:rStyle w:val="32"/>
        </w:rPr>
        <w:t>附录D（资料性）  梅岭玉X射线粉晶衍射</w:t>
      </w:r>
      <w:r>
        <w:tab/>
      </w:r>
      <w:r>
        <w:fldChar w:fldCharType="begin"/>
      </w:r>
      <w:r>
        <w:instrText xml:space="preserve"> PAGEREF _Toc137645749 \h </w:instrText>
      </w:r>
      <w:r>
        <w:fldChar w:fldCharType="separate"/>
      </w:r>
      <w:r>
        <w:t>8</w:t>
      </w:r>
      <w:r>
        <w:fldChar w:fldCharType="end"/>
      </w:r>
      <w:r>
        <w:fldChar w:fldCharType="end"/>
      </w:r>
    </w:p>
    <w:p>
      <w:pPr>
        <w:pStyle w:val="19"/>
        <w:tabs>
          <w:tab w:val="right" w:leader="dot" w:pos="9344"/>
        </w:tabs>
        <w:rPr>
          <w:rFonts w:ascii="等线" w:hAnsi="等线" w:eastAsia="等线" w:cs="黑体"/>
          <w:szCs w:val="22"/>
        </w:rPr>
      </w:pPr>
      <w:r>
        <w:fldChar w:fldCharType="begin"/>
      </w:r>
      <w:r>
        <w:instrText xml:space="preserve"> HYPERLINK \l "_Toc137645750" </w:instrText>
      </w:r>
      <w:r>
        <w:fldChar w:fldCharType="separate"/>
      </w:r>
      <w:r>
        <w:rPr>
          <w:rStyle w:val="32"/>
        </w:rPr>
        <w:t>参考文献</w:t>
      </w:r>
      <w:r>
        <w:tab/>
      </w:r>
      <w:r>
        <w:fldChar w:fldCharType="begin"/>
      </w:r>
      <w:r>
        <w:instrText xml:space="preserve"> PAGEREF _Toc137645750 \h </w:instrText>
      </w:r>
      <w:r>
        <w:fldChar w:fldCharType="separate"/>
      </w:r>
      <w:r>
        <w:t>10</w:t>
      </w:r>
      <w:r>
        <w:fldChar w:fldCharType="end"/>
      </w:r>
      <w:r>
        <w:fldChar w:fldCharType="end"/>
      </w:r>
    </w:p>
    <w:p>
      <w:pPr>
        <w:pStyle w:val="75"/>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720" w:num="1"/>
          <w:formProt w:val="0"/>
          <w:docGrid w:type="lines" w:linePitch="312" w:charSpace="0"/>
        </w:sectPr>
      </w:pPr>
      <w:r>
        <w:fldChar w:fldCharType="end"/>
      </w:r>
    </w:p>
    <w:bookmarkEnd w:id="21"/>
    <w:p>
      <w:pPr>
        <w:pStyle w:val="73"/>
        <w:spacing w:before="900" w:after="468"/>
      </w:pPr>
      <w:bookmarkStart w:id="23" w:name="_Toc137645738"/>
      <w:bookmarkStart w:id="24" w:name="BookMark2"/>
      <w:r>
        <w:rPr>
          <w:spacing w:val="320"/>
        </w:rPr>
        <w:t>前</w:t>
      </w:r>
      <w:r>
        <w:t>言</w:t>
      </w:r>
      <w:bookmarkEnd w:id="22"/>
      <w:bookmarkEnd w:id="23"/>
    </w:p>
    <w:p>
      <w:pPr>
        <w:pStyle w:val="42"/>
        <w:ind w:firstLine="420"/>
        <w:rPr>
          <w:color w:val="auto"/>
        </w:rPr>
      </w:pPr>
      <w:r>
        <w:rPr>
          <w:rFonts w:hint="eastAsia"/>
          <w:color w:val="auto"/>
        </w:rPr>
        <w:t>本文件按照GB/T 1.1—2020《标准化工作导则  第1部分：标准化文件的结构和起草规则》的规定起草。</w:t>
      </w:r>
    </w:p>
    <w:p>
      <w:pPr>
        <w:pStyle w:val="42"/>
        <w:ind w:firstLine="420"/>
        <w:rPr>
          <w:color w:val="auto"/>
        </w:rPr>
      </w:pPr>
      <w:r>
        <w:rPr>
          <w:rFonts w:hint="eastAsia"/>
          <w:color w:val="auto"/>
        </w:rPr>
        <w:t>请注意本文件的某些内容可能涉及专利。本文件的发布机构不承担识别专利的责任。</w:t>
      </w:r>
    </w:p>
    <w:p>
      <w:pPr>
        <w:pStyle w:val="42"/>
        <w:ind w:firstLine="420"/>
        <w:rPr>
          <w:color w:val="auto"/>
        </w:rPr>
      </w:pPr>
      <w:r>
        <w:rPr>
          <w:rFonts w:hint="eastAsia"/>
          <w:color w:val="auto"/>
        </w:rPr>
        <w:t>本文件由江苏省水晶标准化技术委员会提出并归口。</w:t>
      </w:r>
    </w:p>
    <w:p>
      <w:pPr>
        <w:pStyle w:val="42"/>
        <w:ind w:firstLine="420"/>
        <w:rPr>
          <w:color w:val="auto"/>
        </w:rPr>
      </w:pPr>
      <w:r>
        <w:rPr>
          <w:rFonts w:hint="eastAsia"/>
          <w:color w:val="auto"/>
        </w:rPr>
        <w:t>本文件起草单位：江苏省黄金珠宝检测中心有限公司、常州检验检测标准认证研究院、连云港市质量技术综合检验检测中心、</w:t>
      </w:r>
      <w:r>
        <w:rPr>
          <w:rFonts w:hint="eastAsia"/>
          <w:color w:val="auto"/>
          <w:szCs w:val="21"/>
        </w:rPr>
        <w:t>江苏省质量和标准化研究院、南京市产品质量监督检验院、溧阳市梅岭玉石文化创意有限公司、常州市黄金珠宝协会、南通计量测试所、江苏省宝石学会</w:t>
      </w:r>
      <w:r>
        <w:rPr>
          <w:rFonts w:hint="eastAsia"/>
          <w:color w:val="auto"/>
          <w:szCs w:val="21"/>
          <w:lang w:eastAsia="zh-CN"/>
        </w:rPr>
        <w:t>、南京正态珠宝艺术品资产评估事务所</w:t>
      </w:r>
      <w:r>
        <w:rPr>
          <w:rFonts w:hint="eastAsia"/>
          <w:color w:val="auto"/>
          <w:szCs w:val="21"/>
        </w:rPr>
        <w:t>。</w:t>
      </w:r>
    </w:p>
    <w:p>
      <w:pPr>
        <w:pStyle w:val="42"/>
        <w:ind w:firstLine="420"/>
      </w:pPr>
      <w:r>
        <w:rPr>
          <w:rFonts w:hint="eastAsia"/>
        </w:rPr>
        <w:t>本文件主要起草人：朱德茂、王玲、刘旭东、于雪飞、李玥、李玏、宋冬至、是永进、张慧剑、刘自强、汪建明、张峰、</w:t>
      </w:r>
      <w:r>
        <w:rPr>
          <w:rFonts w:hint="eastAsia"/>
          <w:lang w:val="en-US" w:eastAsia="zh-CN"/>
        </w:rPr>
        <w:t>乔蕾</w:t>
      </w:r>
      <w:r>
        <w:rPr>
          <w:rFonts w:hint="eastAsia"/>
        </w:rPr>
        <w:t>、叶磊</w:t>
      </w:r>
      <w:r>
        <w:rPr>
          <w:rFonts w:hint="eastAsia"/>
          <w:lang w:eastAsia="zh-CN"/>
        </w:rPr>
        <w:t>、</w:t>
      </w:r>
      <w:r>
        <w:rPr>
          <w:rFonts w:hint="eastAsia"/>
          <w:lang w:val="en-US" w:eastAsia="zh-CN"/>
        </w:rPr>
        <w:t>顾西军</w:t>
      </w:r>
      <w:r>
        <w:rPr>
          <w:rFonts w:hint="eastAsia"/>
        </w:rPr>
        <w:t>。</w:t>
      </w:r>
    </w:p>
    <w:p>
      <w:pPr>
        <w:pStyle w:val="42"/>
        <w:ind w:firstLine="420"/>
      </w:pPr>
    </w:p>
    <w:p>
      <w:pPr>
        <w:pStyle w:val="42"/>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720"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p>
      <w:pPr>
        <w:pStyle w:val="156"/>
        <w:spacing w:before="312" w:beforeLines="100" w:after="686" w:afterLines="220"/>
      </w:pPr>
      <w:bookmarkStart w:id="26" w:name="NEW_STAND_NAME"/>
      <w:r>
        <w:rPr>
          <w:rFonts w:hint="eastAsia"/>
        </w:rPr>
        <w:t>梅岭玉鉴定技术规范</w:t>
      </w:r>
    </w:p>
    <w:bookmarkEnd w:id="26"/>
    <w:p>
      <w:pPr>
        <w:pStyle w:val="85"/>
        <w:spacing w:before="312" w:after="312"/>
      </w:pPr>
      <w:bookmarkStart w:id="27" w:name="_Toc17233333"/>
      <w:bookmarkStart w:id="28" w:name="_Toc26986530"/>
      <w:bookmarkStart w:id="29" w:name="_Toc97191423"/>
      <w:bookmarkStart w:id="30" w:name="_Toc137645705"/>
      <w:bookmarkStart w:id="31" w:name="_Toc26718930"/>
      <w:bookmarkStart w:id="32" w:name="_Toc137645739"/>
      <w:bookmarkStart w:id="33" w:name="_Toc26986771"/>
      <w:bookmarkStart w:id="34" w:name="_Toc26648465"/>
      <w:bookmarkStart w:id="35" w:name="_Toc24884218"/>
      <w:bookmarkStart w:id="36" w:name="_Toc17233325"/>
      <w:bookmarkStart w:id="37" w:name="_Toc24884211"/>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42"/>
        <w:ind w:firstLine="420"/>
        <w:rPr>
          <w:szCs w:val="21"/>
        </w:rPr>
      </w:pPr>
      <w:bookmarkStart w:id="38" w:name="_Toc17233334"/>
      <w:bookmarkStart w:id="39" w:name="_Toc17233326"/>
      <w:bookmarkStart w:id="40" w:name="_Toc26648466"/>
      <w:bookmarkStart w:id="41" w:name="_Toc24884219"/>
      <w:bookmarkStart w:id="42" w:name="_Toc24884212"/>
      <w:r>
        <w:rPr>
          <w:rFonts w:hint="eastAsia"/>
        </w:rPr>
        <w:t>本文件规定了梅岭玉的术语和定义、鉴定特征、鉴定项目和方法选择、命名规则和鉴定证书要求。</w:t>
      </w:r>
    </w:p>
    <w:p>
      <w:pPr>
        <w:pStyle w:val="42"/>
        <w:ind w:firstLine="420"/>
      </w:pPr>
      <w:r>
        <w:rPr>
          <w:rFonts w:hint="eastAsia"/>
        </w:rPr>
        <w:t>本文件适用于梅岭玉原料及其制品的鉴定和命名。</w:t>
      </w:r>
    </w:p>
    <w:p>
      <w:pPr>
        <w:pStyle w:val="85"/>
        <w:spacing w:before="312" w:after="312"/>
      </w:pPr>
      <w:bookmarkStart w:id="43" w:name="_Toc97191424"/>
      <w:bookmarkStart w:id="44" w:name="_Toc137645740"/>
      <w:bookmarkStart w:id="45" w:name="_Toc137645706"/>
      <w:bookmarkStart w:id="46" w:name="_Toc26718931"/>
      <w:bookmarkStart w:id="47" w:name="_Toc26986772"/>
      <w:bookmarkStart w:id="48" w:name="_Toc26986531"/>
      <w:r>
        <w:rPr>
          <w:rFonts w:hint="eastAsia"/>
        </w:rPr>
        <w:t>规范性引用文件</w:t>
      </w:r>
      <w:bookmarkEnd w:id="38"/>
      <w:bookmarkEnd w:id="39"/>
      <w:bookmarkEnd w:id="40"/>
      <w:bookmarkEnd w:id="41"/>
      <w:bookmarkEnd w:id="42"/>
      <w:bookmarkEnd w:id="43"/>
      <w:bookmarkEnd w:id="44"/>
      <w:bookmarkEnd w:id="45"/>
      <w:bookmarkEnd w:id="46"/>
      <w:bookmarkEnd w:id="47"/>
      <w:bookmarkEnd w:id="48"/>
    </w:p>
    <w:p>
      <w:pPr>
        <w:pStyle w:val="4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42"/>
        <w:ind w:firstLine="420"/>
        <w:rPr>
          <w:szCs w:val="21"/>
        </w:rPr>
      </w:pPr>
      <w:r>
        <w:rPr>
          <w:rFonts w:hint="eastAsia"/>
        </w:rPr>
        <w:t>GB/T 16553  珠宝玉石 鉴定</w:t>
      </w:r>
    </w:p>
    <w:p>
      <w:pPr>
        <w:pStyle w:val="42"/>
        <w:ind w:firstLine="420"/>
      </w:pPr>
      <w:r>
        <w:rPr>
          <w:rFonts w:hint="eastAsia" w:cs="Calibri"/>
        </w:rPr>
        <w:t xml:space="preserve">DZ/T 0275.4  </w:t>
      </w:r>
      <w:r>
        <w:rPr>
          <w:rFonts w:hint="eastAsia"/>
        </w:rPr>
        <w:t>岩矿鉴定技术规范 第</w:t>
      </w:r>
      <w:r>
        <w:rPr>
          <w:rFonts w:hint="eastAsia" w:cs="Calibri"/>
        </w:rPr>
        <w:t>4</w:t>
      </w:r>
      <w:r>
        <w:rPr>
          <w:rFonts w:hint="eastAsia"/>
        </w:rPr>
        <w:t>部分：岩石薄片鉴定</w:t>
      </w:r>
    </w:p>
    <w:p>
      <w:pPr>
        <w:pStyle w:val="85"/>
        <w:spacing w:before="312" w:after="312"/>
      </w:pPr>
      <w:bookmarkStart w:id="49" w:name="_Toc137645707"/>
      <w:bookmarkStart w:id="50" w:name="_Toc97191425"/>
      <w:bookmarkStart w:id="51" w:name="_Toc137645741"/>
      <w:r>
        <w:rPr>
          <w:rFonts w:hint="eastAsia"/>
          <w:szCs w:val="21"/>
        </w:rPr>
        <w:t>术语和定义</w:t>
      </w:r>
      <w:bookmarkEnd w:id="49"/>
      <w:bookmarkEnd w:id="50"/>
      <w:bookmarkEnd w:id="51"/>
    </w:p>
    <w:p>
      <w:pPr>
        <w:pStyle w:val="42"/>
        <w:ind w:firstLine="420"/>
      </w:pPr>
      <w:bookmarkStart w:id="52" w:name="_Toc26986532"/>
      <w:bookmarkEnd w:id="52"/>
      <w:r>
        <w:rPr>
          <w:rFonts w:hint="eastAsia" w:cs="Calibri"/>
        </w:rPr>
        <w:t>GB/T 16553和DZ/T 0275.4</w:t>
      </w:r>
      <w:r>
        <w:rPr>
          <w:rFonts w:cs="Calibri"/>
        </w:rPr>
        <w:t>界定的以及下列术语和定义适用于本文件。</w:t>
      </w:r>
    </w:p>
    <w:p>
      <w:pPr>
        <w:pStyle w:val="86"/>
        <w:spacing w:before="156" w:after="156"/>
        <w:rPr>
          <w:color w:val="auto"/>
        </w:rPr>
      </w:pPr>
      <w:bookmarkStart w:id="53" w:name="_Toc137645708"/>
      <w:bookmarkEnd w:id="53"/>
    </w:p>
    <w:p>
      <w:pPr>
        <w:pStyle w:val="86"/>
        <w:numPr>
          <w:ilvl w:val="2"/>
          <w:numId w:val="0"/>
        </w:numPr>
        <w:spacing w:before="156" w:after="156"/>
        <w:ind w:firstLine="420" w:firstLineChars="200"/>
        <w:rPr>
          <w:rFonts w:hint="eastAsia" w:eastAsia="黑体"/>
          <w:color w:val="auto"/>
          <w:lang w:eastAsia="zh-CN"/>
        </w:rPr>
      </w:pPr>
      <w:bookmarkStart w:id="54" w:name="_Toc137645709"/>
      <w:r>
        <w:rPr>
          <w:rFonts w:hint="eastAsia"/>
          <w:color w:val="auto"/>
        </w:rPr>
        <w:t>梅岭玉</w:t>
      </w:r>
      <w:bookmarkEnd w:id="54"/>
      <w:r>
        <w:rPr>
          <w:rFonts w:hint="eastAsia"/>
          <w:color w:val="auto"/>
        </w:rPr>
        <w:t xml:space="preserve"> Meiling </w:t>
      </w:r>
      <w:r>
        <w:rPr>
          <w:rFonts w:hint="eastAsia"/>
          <w:color w:val="auto"/>
          <w:lang w:val="en-US" w:eastAsia="zh-CN"/>
        </w:rPr>
        <w:t>Jade</w:t>
      </w:r>
    </w:p>
    <w:p>
      <w:pPr>
        <w:pStyle w:val="42"/>
        <w:ind w:firstLine="420"/>
        <w:rPr>
          <w:rFonts w:hAnsi="宋体"/>
          <w:color w:val="auto"/>
        </w:rPr>
      </w:pPr>
      <w:r>
        <w:rPr>
          <w:rFonts w:hint="eastAsia" w:hAnsi="宋体"/>
          <w:color w:val="auto"/>
        </w:rPr>
        <w:t>产于溧阳市小梅岭地区的透闪石质玉石。是主要矿物成分为透闪石，可含有少量至微量的方解石、透辉石、硅灰石、绿帘石、磷灰石等，具有毛毡状至纤维状变晶结构的矿物集合体。</w:t>
      </w:r>
    </w:p>
    <w:p>
      <w:pPr>
        <w:pStyle w:val="85"/>
        <w:spacing w:before="312" w:after="312"/>
        <w:rPr>
          <w:color w:val="auto"/>
        </w:rPr>
      </w:pPr>
      <w:bookmarkStart w:id="55" w:name="_Toc137645742"/>
      <w:bookmarkStart w:id="56" w:name="_Toc137645710"/>
      <w:r>
        <w:rPr>
          <w:rFonts w:hint="eastAsia"/>
          <w:color w:val="auto"/>
        </w:rPr>
        <w:t>鉴定特征</w:t>
      </w:r>
      <w:bookmarkEnd w:id="55"/>
      <w:bookmarkEnd w:id="56"/>
    </w:p>
    <w:p>
      <w:pPr>
        <w:pStyle w:val="86"/>
        <w:spacing w:before="156" w:after="156"/>
        <w:rPr>
          <w:color w:val="auto"/>
        </w:rPr>
      </w:pPr>
      <w:bookmarkStart w:id="57" w:name="_Toc137645711"/>
      <w:r>
        <w:rPr>
          <w:rFonts w:hint="eastAsia"/>
          <w:color w:val="auto"/>
        </w:rPr>
        <w:t>矿物成分</w:t>
      </w:r>
      <w:bookmarkEnd w:id="57"/>
    </w:p>
    <w:p>
      <w:pPr>
        <w:pStyle w:val="42"/>
        <w:ind w:firstLine="420"/>
        <w:rPr>
          <w:color w:val="auto"/>
          <w:kern w:val="2"/>
          <w:szCs w:val="21"/>
        </w:rPr>
      </w:pPr>
      <w:r>
        <w:rPr>
          <w:rFonts w:hint="eastAsia"/>
          <w:color w:val="auto"/>
        </w:rPr>
        <w:t>主要矿物成分为透闪石，可含有方解石、透辉石、硅灰石、绿帘石、磷灰石等矿物。</w:t>
      </w:r>
    </w:p>
    <w:p>
      <w:pPr>
        <w:pStyle w:val="86"/>
        <w:spacing w:before="156" w:after="156"/>
        <w:rPr>
          <w:color w:val="auto"/>
        </w:rPr>
      </w:pPr>
      <w:bookmarkStart w:id="58" w:name="_Toc137645712"/>
      <w:r>
        <w:rPr>
          <w:rFonts w:hint="eastAsia"/>
          <w:color w:val="auto"/>
        </w:rPr>
        <w:t>化学成分</w:t>
      </w:r>
      <w:bookmarkEnd w:id="58"/>
    </w:p>
    <w:p>
      <w:pPr>
        <w:pStyle w:val="42"/>
        <w:ind w:firstLine="420"/>
        <w:rPr>
          <w:color w:val="auto"/>
        </w:rPr>
      </w:pPr>
      <w:r>
        <w:rPr>
          <w:rFonts w:hint="eastAsia"/>
          <w:color w:val="auto"/>
        </w:rPr>
        <w:t>主要化学成分为SiO</w:t>
      </w:r>
      <w:r>
        <w:rPr>
          <w:rFonts w:hint="eastAsia"/>
          <w:color w:val="auto"/>
          <w:vertAlign w:val="subscript"/>
        </w:rPr>
        <w:t>2</w:t>
      </w:r>
      <w:r>
        <w:rPr>
          <w:rFonts w:hint="eastAsia"/>
          <w:color w:val="auto"/>
        </w:rPr>
        <w:t>、MgO和CaO，含有少量</w:t>
      </w:r>
      <w:r>
        <w:rPr>
          <w:rFonts w:hint="eastAsia" w:hAnsi="宋体"/>
          <w:color w:val="auto"/>
        </w:rPr>
        <w:t>至</w:t>
      </w:r>
      <w:r>
        <w:rPr>
          <w:rFonts w:hint="eastAsia"/>
          <w:color w:val="auto"/>
        </w:rPr>
        <w:t>微量的Al</w:t>
      </w:r>
      <w:r>
        <w:rPr>
          <w:rFonts w:hint="eastAsia"/>
          <w:color w:val="auto"/>
          <w:vertAlign w:val="subscript"/>
        </w:rPr>
        <w:t>2</w:t>
      </w:r>
      <w:r>
        <w:rPr>
          <w:rFonts w:hint="eastAsia"/>
          <w:color w:val="auto"/>
        </w:rPr>
        <w:t>O</w:t>
      </w:r>
      <w:r>
        <w:rPr>
          <w:rFonts w:hint="eastAsia"/>
          <w:color w:val="auto"/>
          <w:vertAlign w:val="subscript"/>
        </w:rPr>
        <w:t>3</w:t>
      </w:r>
      <w:r>
        <w:rPr>
          <w:rFonts w:hint="eastAsia"/>
          <w:color w:val="auto"/>
        </w:rPr>
        <w:t>、Fe</w:t>
      </w:r>
      <w:r>
        <w:rPr>
          <w:rFonts w:hint="eastAsia"/>
          <w:color w:val="auto"/>
          <w:vertAlign w:val="subscript"/>
        </w:rPr>
        <w:t>2</w:t>
      </w:r>
      <w:r>
        <w:rPr>
          <w:rFonts w:hint="eastAsia"/>
          <w:color w:val="auto"/>
        </w:rPr>
        <w:t>O</w:t>
      </w:r>
      <w:r>
        <w:rPr>
          <w:rFonts w:hint="eastAsia"/>
          <w:color w:val="auto"/>
          <w:vertAlign w:val="subscript"/>
        </w:rPr>
        <w:t>3</w:t>
      </w:r>
      <w:r>
        <w:rPr>
          <w:rFonts w:hint="eastAsia"/>
          <w:color w:val="auto"/>
        </w:rPr>
        <w:t>、FeO、MnO、TiO</w:t>
      </w:r>
      <w:r>
        <w:rPr>
          <w:rFonts w:hint="eastAsia"/>
          <w:color w:val="auto"/>
          <w:vertAlign w:val="subscript"/>
        </w:rPr>
        <w:t>2</w:t>
      </w:r>
      <w:r>
        <w:rPr>
          <w:rFonts w:hint="eastAsia"/>
          <w:color w:val="auto"/>
        </w:rPr>
        <w:t>、K</w:t>
      </w:r>
      <w:r>
        <w:rPr>
          <w:rFonts w:hint="eastAsia"/>
          <w:color w:val="auto"/>
          <w:vertAlign w:val="subscript"/>
        </w:rPr>
        <w:t>2</w:t>
      </w:r>
      <w:r>
        <w:rPr>
          <w:rFonts w:hint="eastAsia"/>
          <w:color w:val="auto"/>
        </w:rPr>
        <w:t>O、Na</w:t>
      </w:r>
      <w:r>
        <w:rPr>
          <w:rFonts w:hint="eastAsia"/>
          <w:color w:val="auto"/>
          <w:vertAlign w:val="subscript"/>
        </w:rPr>
        <w:t>2</w:t>
      </w:r>
      <w:r>
        <w:rPr>
          <w:rFonts w:hint="eastAsia"/>
          <w:color w:val="auto"/>
        </w:rPr>
        <w:t>O等成分，参见附录A。</w:t>
      </w:r>
    </w:p>
    <w:p>
      <w:pPr>
        <w:pStyle w:val="86"/>
        <w:spacing w:before="156" w:after="156"/>
        <w:rPr>
          <w:color w:val="auto"/>
        </w:rPr>
      </w:pPr>
      <w:bookmarkStart w:id="59" w:name="_Toc137645713"/>
      <w:r>
        <w:rPr>
          <w:rFonts w:hint="eastAsia"/>
          <w:color w:val="auto"/>
        </w:rPr>
        <w:t>结晶状态</w:t>
      </w:r>
      <w:bookmarkEnd w:id="59"/>
    </w:p>
    <w:p>
      <w:pPr>
        <w:pStyle w:val="42"/>
        <w:ind w:firstLine="420"/>
        <w:rPr>
          <w:color w:val="auto"/>
          <w:kern w:val="2"/>
          <w:szCs w:val="21"/>
        </w:rPr>
      </w:pPr>
      <w:r>
        <w:rPr>
          <w:rFonts w:hint="eastAsia"/>
          <w:color w:val="auto"/>
        </w:rPr>
        <w:t>晶质集合体。</w:t>
      </w:r>
    </w:p>
    <w:p>
      <w:pPr>
        <w:pStyle w:val="86"/>
        <w:spacing w:before="156" w:after="156"/>
        <w:rPr>
          <w:color w:val="auto"/>
        </w:rPr>
      </w:pPr>
      <w:bookmarkStart w:id="60" w:name="_Toc137645714"/>
      <w:r>
        <w:rPr>
          <w:rFonts w:hint="eastAsia"/>
          <w:color w:val="auto"/>
        </w:rPr>
        <w:t>外观特征</w:t>
      </w:r>
      <w:bookmarkEnd w:id="60"/>
    </w:p>
    <w:p>
      <w:pPr>
        <w:pStyle w:val="51"/>
        <w:spacing w:before="156" w:after="156"/>
        <w:rPr>
          <w:color w:val="auto"/>
        </w:rPr>
      </w:pPr>
      <w:r>
        <w:rPr>
          <w:rFonts w:hint="eastAsia"/>
          <w:color w:val="auto"/>
        </w:rPr>
        <w:t>颜色</w:t>
      </w:r>
    </w:p>
    <w:p>
      <w:pPr>
        <w:pStyle w:val="42"/>
        <w:ind w:firstLine="420"/>
        <w:rPr>
          <w:color w:val="auto"/>
        </w:rPr>
      </w:pPr>
      <w:r>
        <w:rPr>
          <w:rFonts w:hint="eastAsia"/>
          <w:color w:val="auto"/>
        </w:rPr>
        <w:t>常见颜色为青白色，还可见白、灰白、青</w:t>
      </w:r>
      <w:r>
        <w:rPr>
          <w:rFonts w:hint="eastAsia"/>
          <w:color w:val="auto"/>
          <w:lang w:eastAsia="zh-CN"/>
        </w:rPr>
        <w:t>、</w:t>
      </w:r>
      <w:r>
        <w:rPr>
          <w:rFonts w:hint="eastAsia"/>
          <w:color w:val="auto"/>
          <w:lang w:val="en-US" w:eastAsia="zh-CN"/>
        </w:rPr>
        <w:t>绿</w:t>
      </w:r>
      <w:r>
        <w:rPr>
          <w:rFonts w:hint="eastAsia"/>
          <w:color w:val="auto"/>
        </w:rPr>
        <w:t>等色。</w:t>
      </w:r>
    </w:p>
    <w:p>
      <w:pPr>
        <w:pStyle w:val="51"/>
        <w:spacing w:before="156" w:after="156"/>
      </w:pPr>
      <w:r>
        <w:rPr>
          <w:rFonts w:hint="eastAsia"/>
        </w:rPr>
        <w:t>光泽</w:t>
      </w:r>
    </w:p>
    <w:p>
      <w:pPr>
        <w:pStyle w:val="42"/>
        <w:ind w:firstLine="420"/>
      </w:pPr>
      <w:r>
        <w:rPr>
          <w:rFonts w:hint="eastAsia"/>
        </w:rPr>
        <w:t>玻璃光泽、油脂光泽、蜡状光泽。</w:t>
      </w:r>
    </w:p>
    <w:p>
      <w:pPr>
        <w:pStyle w:val="51"/>
        <w:spacing w:before="156" w:after="156"/>
      </w:pPr>
      <w:r>
        <w:rPr>
          <w:rFonts w:hint="eastAsia"/>
        </w:rPr>
        <w:t>透明度</w:t>
      </w:r>
    </w:p>
    <w:p>
      <w:pPr>
        <w:pStyle w:val="199"/>
        <w:numPr>
          <w:ilvl w:val="3"/>
          <w:numId w:val="0"/>
        </w:numPr>
        <w:spacing w:before="156" w:after="156"/>
        <w:ind w:left="420"/>
        <w:rPr>
          <w:rFonts w:hAnsi="宋体"/>
        </w:rPr>
      </w:pPr>
      <w:r>
        <w:rPr>
          <w:rFonts w:hint="eastAsia" w:hAnsi="宋体"/>
        </w:rPr>
        <w:t>微</w:t>
      </w:r>
      <w:r>
        <w:rPr>
          <w:rFonts w:hint="eastAsia" w:hAnsi="宋体"/>
          <w:color w:val="auto"/>
        </w:rPr>
        <w:t>透明至不透明。</w:t>
      </w:r>
    </w:p>
    <w:p>
      <w:pPr>
        <w:pStyle w:val="51"/>
        <w:spacing w:before="156" w:after="156"/>
      </w:pPr>
      <w:r>
        <w:rPr>
          <w:rFonts w:hint="eastAsia"/>
        </w:rPr>
        <w:t>断口</w:t>
      </w:r>
    </w:p>
    <w:p>
      <w:pPr>
        <w:pStyle w:val="42"/>
        <w:ind w:firstLine="420"/>
      </w:pPr>
      <w:r>
        <w:rPr>
          <w:rFonts w:hint="eastAsia"/>
        </w:rPr>
        <w:t>参差状断口。</w:t>
      </w:r>
    </w:p>
    <w:p>
      <w:pPr>
        <w:pStyle w:val="86"/>
        <w:spacing w:before="156" w:after="156"/>
      </w:pPr>
      <w:bookmarkStart w:id="61" w:name="_Toc137645715"/>
      <w:r>
        <w:rPr>
          <w:rFonts w:hint="eastAsia"/>
        </w:rPr>
        <w:t>放大检查</w:t>
      </w:r>
      <w:bookmarkEnd w:id="61"/>
    </w:p>
    <w:p>
      <w:pPr>
        <w:pStyle w:val="51"/>
        <w:spacing w:before="156" w:after="156"/>
      </w:pPr>
      <w:r>
        <w:rPr>
          <w:rFonts w:hint="eastAsia"/>
        </w:rPr>
        <w:t>宝石显微镜观察</w:t>
      </w:r>
    </w:p>
    <w:p>
      <w:pPr>
        <w:pStyle w:val="42"/>
        <w:ind w:firstLine="420"/>
      </w:pPr>
      <w:r>
        <w:rPr>
          <w:rFonts w:hint="eastAsia"/>
        </w:rPr>
        <w:t>质地致密细腻，常见纤维交织结构，可见矿物包体。</w:t>
      </w:r>
    </w:p>
    <w:p>
      <w:pPr>
        <w:pStyle w:val="51"/>
        <w:spacing w:before="156" w:after="156"/>
      </w:pPr>
      <w:r>
        <w:rPr>
          <w:rFonts w:hint="eastAsia"/>
        </w:rPr>
        <w:t>偏光显微镜观察</w:t>
      </w:r>
    </w:p>
    <w:p>
      <w:pPr>
        <w:pStyle w:val="42"/>
        <w:ind w:firstLine="420"/>
        <w:rPr>
          <w:color w:val="auto"/>
        </w:rPr>
      </w:pPr>
      <w:r>
        <w:rPr>
          <w:rFonts w:hint="eastAsia"/>
        </w:rPr>
        <w:t>主要组成矿物为透闪</w:t>
      </w:r>
      <w:r>
        <w:rPr>
          <w:rFonts w:hint="eastAsia"/>
          <w:color w:val="auto"/>
        </w:rPr>
        <w:t>石，可含有少量至微量的方解石、透辉石、硅灰石、绿帘石、磷灰石等。主要为毛毡状至纤维状变晶结构，局部可见纤柱状变晶结构、鳞片状变晶结构、放射状变晶结构、柱粒状变晶结构等。</w:t>
      </w:r>
    </w:p>
    <w:p>
      <w:pPr>
        <w:pStyle w:val="86"/>
        <w:spacing w:before="156" w:after="156"/>
        <w:rPr>
          <w:color w:val="auto"/>
        </w:rPr>
      </w:pPr>
      <w:bookmarkStart w:id="62" w:name="_Toc137645716"/>
      <w:r>
        <w:rPr>
          <w:rFonts w:hint="eastAsia"/>
          <w:color w:val="auto"/>
        </w:rPr>
        <w:t>摩氏硬度</w:t>
      </w:r>
      <w:bookmarkEnd w:id="62"/>
    </w:p>
    <w:p>
      <w:pPr>
        <w:pStyle w:val="42"/>
        <w:ind w:firstLine="420"/>
      </w:pPr>
      <w:r>
        <w:rPr>
          <w:rFonts w:hint="eastAsia"/>
        </w:rPr>
        <w:t>5.5～6。</w:t>
      </w:r>
    </w:p>
    <w:p>
      <w:pPr>
        <w:pStyle w:val="86"/>
        <w:spacing w:before="156" w:after="156"/>
      </w:pPr>
      <w:bookmarkStart w:id="63" w:name="_Toc137645717"/>
      <w:r>
        <w:rPr>
          <w:rFonts w:hint="eastAsia"/>
        </w:rPr>
        <w:t>密度</w:t>
      </w:r>
      <w:bookmarkEnd w:id="63"/>
    </w:p>
    <w:p>
      <w:pPr>
        <w:pStyle w:val="42"/>
        <w:ind w:firstLine="420"/>
        <w:rPr>
          <w:rFonts w:hAnsi="宋体"/>
        </w:rPr>
      </w:pPr>
      <w:r>
        <w:rPr>
          <w:rFonts w:hint="eastAsia"/>
        </w:rPr>
        <w:t>2.90g/cm</w:t>
      </w:r>
      <w:r>
        <w:rPr>
          <w:rFonts w:hint="eastAsia"/>
          <w:vertAlign w:val="superscript"/>
        </w:rPr>
        <w:t>3</w:t>
      </w:r>
      <w:r>
        <w:rPr>
          <w:rFonts w:hint="eastAsia" w:hAnsi="宋体"/>
        </w:rPr>
        <w:t xml:space="preserve"> ～</w:t>
      </w:r>
      <w:r>
        <w:rPr>
          <w:rFonts w:hint="eastAsia"/>
        </w:rPr>
        <w:t>3.10g/cm</w:t>
      </w:r>
      <w:r>
        <w:rPr>
          <w:rFonts w:hint="eastAsia"/>
          <w:vertAlign w:val="superscript"/>
        </w:rPr>
        <w:t>3</w:t>
      </w:r>
      <w:r>
        <w:rPr>
          <w:rFonts w:hint="eastAsia" w:hAnsi="宋体"/>
        </w:rPr>
        <w:t xml:space="preserve"> 。</w:t>
      </w:r>
    </w:p>
    <w:p>
      <w:pPr>
        <w:pStyle w:val="86"/>
        <w:spacing w:before="156" w:after="156"/>
      </w:pPr>
      <w:bookmarkStart w:id="64" w:name="_Toc137645718"/>
      <w:r>
        <w:rPr>
          <w:rFonts w:hint="eastAsia"/>
        </w:rPr>
        <w:t>光性特征</w:t>
      </w:r>
      <w:bookmarkEnd w:id="64"/>
    </w:p>
    <w:p>
      <w:pPr>
        <w:pStyle w:val="42"/>
        <w:ind w:firstLine="420"/>
      </w:pPr>
      <w:r>
        <w:rPr>
          <w:rFonts w:hint="eastAsia"/>
        </w:rPr>
        <w:t>非均质集合体。</w:t>
      </w:r>
    </w:p>
    <w:p>
      <w:pPr>
        <w:pStyle w:val="86"/>
        <w:spacing w:before="156" w:after="156"/>
      </w:pPr>
      <w:bookmarkStart w:id="65" w:name="_Toc137645719"/>
      <w:r>
        <w:rPr>
          <w:rFonts w:hint="eastAsia"/>
        </w:rPr>
        <w:t>折射率</w:t>
      </w:r>
      <w:bookmarkEnd w:id="65"/>
    </w:p>
    <w:p>
      <w:pPr>
        <w:pStyle w:val="42"/>
        <w:ind w:firstLine="420"/>
        <w:rPr>
          <w:rFonts w:hAnsi="宋体"/>
        </w:rPr>
      </w:pPr>
      <w:r>
        <w:rPr>
          <w:rFonts w:hint="eastAsia"/>
        </w:rPr>
        <w:t>1.60</w:t>
      </w:r>
      <w:r>
        <w:rPr>
          <w:rFonts w:hint="eastAsia" w:hAnsi="宋体"/>
        </w:rPr>
        <w:t>～</w:t>
      </w:r>
      <w:r>
        <w:rPr>
          <w:rFonts w:hint="eastAsia"/>
        </w:rPr>
        <w:t>1.61</w:t>
      </w:r>
      <w:r>
        <w:rPr>
          <w:rFonts w:hint="eastAsia" w:hAnsi="宋体"/>
        </w:rPr>
        <w:t>（点测）。</w:t>
      </w:r>
    </w:p>
    <w:p>
      <w:pPr>
        <w:pStyle w:val="86"/>
        <w:spacing w:before="156" w:after="156"/>
      </w:pPr>
      <w:bookmarkStart w:id="66" w:name="_Toc137645720"/>
      <w:r>
        <w:rPr>
          <w:rFonts w:hint="eastAsia"/>
        </w:rPr>
        <w:t>双折射率</w:t>
      </w:r>
      <w:bookmarkEnd w:id="66"/>
    </w:p>
    <w:p>
      <w:pPr>
        <w:pStyle w:val="42"/>
        <w:ind w:firstLine="420"/>
      </w:pPr>
      <w:r>
        <w:rPr>
          <w:rFonts w:hint="eastAsia"/>
        </w:rPr>
        <w:t>集合体不可测。</w:t>
      </w:r>
    </w:p>
    <w:p>
      <w:pPr>
        <w:pStyle w:val="86"/>
        <w:spacing w:before="156" w:after="156"/>
      </w:pPr>
      <w:bookmarkStart w:id="67" w:name="_Toc137645721"/>
      <w:r>
        <w:rPr>
          <w:rFonts w:hint="eastAsia"/>
        </w:rPr>
        <w:t>荧光观察</w:t>
      </w:r>
      <w:bookmarkEnd w:id="67"/>
    </w:p>
    <w:p>
      <w:pPr>
        <w:pStyle w:val="42"/>
        <w:ind w:firstLine="420"/>
      </w:pPr>
      <w:r>
        <w:rPr>
          <w:rFonts w:hint="eastAsia"/>
        </w:rPr>
        <w:t>无。</w:t>
      </w:r>
    </w:p>
    <w:p>
      <w:pPr>
        <w:pStyle w:val="86"/>
        <w:spacing w:before="156" w:after="156"/>
      </w:pPr>
      <w:bookmarkStart w:id="68" w:name="_Toc137645722"/>
      <w:r>
        <w:rPr>
          <w:rFonts w:hint="eastAsia"/>
        </w:rPr>
        <w:t>紫外可见光谱</w:t>
      </w:r>
      <w:bookmarkEnd w:id="68"/>
    </w:p>
    <w:p>
      <w:pPr>
        <w:pStyle w:val="42"/>
        <w:ind w:firstLine="420"/>
      </w:pPr>
      <w:r>
        <w:rPr>
          <w:rFonts w:hint="eastAsia"/>
        </w:rPr>
        <w:t>不特征。</w:t>
      </w:r>
    </w:p>
    <w:p>
      <w:pPr>
        <w:pStyle w:val="86"/>
        <w:spacing w:before="156" w:after="156"/>
      </w:pPr>
      <w:bookmarkStart w:id="69" w:name="_Toc137645723"/>
      <w:r>
        <w:rPr>
          <w:rFonts w:hint="eastAsia"/>
        </w:rPr>
        <w:t>红外吸收光谱</w:t>
      </w:r>
      <w:bookmarkEnd w:id="69"/>
    </w:p>
    <w:p>
      <w:pPr>
        <w:pStyle w:val="42"/>
        <w:ind w:firstLine="420"/>
        <w:rPr>
          <w:rFonts w:hAnsi="宋体"/>
        </w:rPr>
      </w:pPr>
      <w:r>
        <w:rPr>
          <w:rFonts w:hint="eastAsia" w:hAnsi="宋体"/>
        </w:rPr>
        <w:t>主要有</w:t>
      </w:r>
      <w:r>
        <w:rPr>
          <w:rFonts w:hint="eastAsia"/>
        </w:rPr>
        <w:t>420cm</w:t>
      </w:r>
      <w:r>
        <w:rPr>
          <w:rFonts w:hint="eastAsia"/>
          <w:vertAlign w:val="superscript"/>
        </w:rPr>
        <w:t>-1</w:t>
      </w:r>
      <w:r>
        <w:rPr>
          <w:rFonts w:hint="eastAsia" w:hAnsi="宋体"/>
        </w:rPr>
        <w:t>、</w:t>
      </w:r>
      <w:r>
        <w:rPr>
          <w:rFonts w:hint="eastAsia"/>
        </w:rPr>
        <w:t>463cm</w:t>
      </w:r>
      <w:r>
        <w:rPr>
          <w:rFonts w:hint="eastAsia"/>
          <w:vertAlign w:val="superscript"/>
        </w:rPr>
        <w:t>-1</w:t>
      </w:r>
      <w:r>
        <w:rPr>
          <w:rFonts w:hint="eastAsia" w:hAnsi="宋体"/>
        </w:rPr>
        <w:t>、</w:t>
      </w:r>
      <w:r>
        <w:rPr>
          <w:rFonts w:hint="eastAsia"/>
        </w:rPr>
        <w:t>509cm</w:t>
      </w:r>
      <w:r>
        <w:rPr>
          <w:rFonts w:hint="eastAsia"/>
          <w:vertAlign w:val="superscript"/>
        </w:rPr>
        <w:t>-1</w:t>
      </w:r>
      <w:r>
        <w:rPr>
          <w:rFonts w:hint="eastAsia" w:hAnsi="宋体"/>
        </w:rPr>
        <w:t>、</w:t>
      </w:r>
      <w:r>
        <w:rPr>
          <w:rFonts w:hint="eastAsia"/>
        </w:rPr>
        <w:t>686cm</w:t>
      </w:r>
      <w:r>
        <w:rPr>
          <w:rFonts w:hint="eastAsia"/>
          <w:vertAlign w:val="superscript"/>
        </w:rPr>
        <w:t>-1</w:t>
      </w:r>
      <w:r>
        <w:rPr>
          <w:rFonts w:hint="eastAsia" w:hAnsi="宋体"/>
        </w:rPr>
        <w:t>、</w:t>
      </w:r>
      <w:r>
        <w:rPr>
          <w:rFonts w:hint="eastAsia"/>
        </w:rPr>
        <w:t>757cm</w:t>
      </w:r>
      <w:r>
        <w:rPr>
          <w:rFonts w:hint="eastAsia"/>
          <w:vertAlign w:val="superscript"/>
        </w:rPr>
        <w:t>-1</w:t>
      </w:r>
      <w:r>
        <w:rPr>
          <w:rFonts w:hint="eastAsia" w:hAnsi="宋体"/>
        </w:rPr>
        <w:t>、</w:t>
      </w:r>
      <w:r>
        <w:rPr>
          <w:rFonts w:hint="eastAsia"/>
        </w:rPr>
        <w:t>921cm</w:t>
      </w:r>
      <w:r>
        <w:rPr>
          <w:rFonts w:hint="eastAsia"/>
          <w:vertAlign w:val="superscript"/>
        </w:rPr>
        <w:t>-1</w:t>
      </w:r>
      <w:r>
        <w:rPr>
          <w:rFonts w:hint="eastAsia" w:hAnsi="宋体"/>
        </w:rPr>
        <w:t>、</w:t>
      </w:r>
      <w:r>
        <w:rPr>
          <w:rFonts w:hint="eastAsia"/>
        </w:rPr>
        <w:t>952cm</w:t>
      </w:r>
      <w:r>
        <w:rPr>
          <w:rFonts w:hint="eastAsia"/>
          <w:vertAlign w:val="superscript"/>
        </w:rPr>
        <w:t>-1</w:t>
      </w:r>
      <w:r>
        <w:rPr>
          <w:rFonts w:hint="eastAsia" w:hAnsi="宋体"/>
        </w:rPr>
        <w:t>、</w:t>
      </w:r>
      <w:r>
        <w:rPr>
          <w:rFonts w:hint="eastAsia"/>
        </w:rPr>
        <w:t>1000cm</w:t>
      </w:r>
      <w:r>
        <w:rPr>
          <w:rFonts w:hint="eastAsia"/>
          <w:vertAlign w:val="superscript"/>
        </w:rPr>
        <w:t>-1</w:t>
      </w:r>
      <w:r>
        <w:rPr>
          <w:rFonts w:hint="eastAsia" w:hAnsi="宋体"/>
        </w:rPr>
        <w:t>、</w:t>
      </w:r>
      <w:r>
        <w:rPr>
          <w:rFonts w:hint="eastAsia"/>
        </w:rPr>
        <w:t>1065cm</w:t>
      </w:r>
      <w:r>
        <w:rPr>
          <w:rFonts w:hint="eastAsia"/>
          <w:vertAlign w:val="superscript"/>
        </w:rPr>
        <w:t>-1</w:t>
      </w:r>
      <w:r>
        <w:rPr>
          <w:rFonts w:hint="eastAsia" w:hAnsi="宋体"/>
        </w:rPr>
        <w:t>、</w:t>
      </w:r>
      <w:r>
        <w:rPr>
          <w:rFonts w:hint="eastAsia"/>
        </w:rPr>
        <w:t>1105cm</w:t>
      </w:r>
      <w:r>
        <w:rPr>
          <w:rFonts w:hint="eastAsia"/>
          <w:vertAlign w:val="superscript"/>
        </w:rPr>
        <w:t>-1</w:t>
      </w:r>
      <w:r>
        <w:rPr>
          <w:rFonts w:hint="eastAsia" w:hAnsi="宋体"/>
        </w:rPr>
        <w:t>、</w:t>
      </w:r>
      <w:r>
        <w:rPr>
          <w:rFonts w:hint="eastAsia"/>
        </w:rPr>
        <w:t>3673cm</w:t>
      </w:r>
      <w:r>
        <w:rPr>
          <w:rFonts w:hint="eastAsia"/>
          <w:vertAlign w:val="superscript"/>
        </w:rPr>
        <w:t>-1</w:t>
      </w:r>
      <w:r>
        <w:rPr>
          <w:rFonts w:hint="eastAsia" w:hAnsi="宋体"/>
        </w:rPr>
        <w:t>附近特征红外吸收峰，参见附录</w:t>
      </w:r>
      <w:r>
        <w:rPr>
          <w:rFonts w:hint="eastAsia"/>
        </w:rPr>
        <w:t>B</w:t>
      </w:r>
      <w:r>
        <w:rPr>
          <w:rFonts w:hint="eastAsia" w:hAnsi="宋体"/>
        </w:rPr>
        <w:t>。</w:t>
      </w:r>
    </w:p>
    <w:p>
      <w:pPr>
        <w:pStyle w:val="86"/>
        <w:spacing w:before="156" w:after="156"/>
      </w:pPr>
      <w:bookmarkStart w:id="70" w:name="_Toc137645724"/>
      <w:r>
        <w:rPr>
          <w:rFonts w:hint="eastAsia"/>
        </w:rPr>
        <w:t>激光拉曼光谱</w:t>
      </w:r>
      <w:bookmarkEnd w:id="70"/>
    </w:p>
    <w:p>
      <w:pPr>
        <w:pStyle w:val="42"/>
        <w:ind w:firstLine="420"/>
        <w:rPr>
          <w:kern w:val="2"/>
          <w:szCs w:val="21"/>
        </w:rPr>
      </w:pPr>
      <w:r>
        <w:rPr>
          <w:rFonts w:hint="eastAsia" w:hAnsi="宋体"/>
        </w:rPr>
        <w:t>主要有</w:t>
      </w:r>
      <w:r>
        <w:rPr>
          <w:rFonts w:hint="eastAsia"/>
        </w:rPr>
        <w:t>180cm</w:t>
      </w:r>
      <w:r>
        <w:rPr>
          <w:rFonts w:hint="eastAsia"/>
          <w:vertAlign w:val="superscript"/>
        </w:rPr>
        <w:t>-1</w:t>
      </w:r>
      <w:r>
        <w:rPr>
          <w:rFonts w:hint="eastAsia" w:hAnsi="宋体"/>
        </w:rPr>
        <w:t>、</w:t>
      </w:r>
      <w:r>
        <w:rPr>
          <w:rFonts w:hint="eastAsia"/>
        </w:rPr>
        <w:t>225cm</w:t>
      </w:r>
      <w:r>
        <w:rPr>
          <w:rFonts w:hint="eastAsia"/>
          <w:vertAlign w:val="superscript"/>
        </w:rPr>
        <w:t>-1</w:t>
      </w:r>
      <w:r>
        <w:rPr>
          <w:rFonts w:hint="eastAsia" w:hAnsi="宋体"/>
        </w:rPr>
        <w:t>、</w:t>
      </w:r>
      <w:r>
        <w:rPr>
          <w:rFonts w:hint="eastAsia"/>
        </w:rPr>
        <w:t>234cm</w:t>
      </w:r>
      <w:r>
        <w:rPr>
          <w:rFonts w:hint="eastAsia"/>
          <w:vertAlign w:val="superscript"/>
        </w:rPr>
        <w:t>-1</w:t>
      </w:r>
      <w:r>
        <w:rPr>
          <w:rFonts w:hint="eastAsia" w:hAnsi="宋体"/>
        </w:rPr>
        <w:t>、</w:t>
      </w:r>
      <w:r>
        <w:rPr>
          <w:rFonts w:hint="eastAsia"/>
        </w:rPr>
        <w:t>350cm</w:t>
      </w:r>
      <w:r>
        <w:rPr>
          <w:rFonts w:hint="eastAsia"/>
          <w:vertAlign w:val="superscript"/>
        </w:rPr>
        <w:t>-1</w:t>
      </w:r>
      <w:r>
        <w:rPr>
          <w:rFonts w:hint="eastAsia" w:hAnsi="宋体"/>
        </w:rPr>
        <w:t>、</w:t>
      </w:r>
      <w:r>
        <w:rPr>
          <w:rFonts w:hint="eastAsia"/>
        </w:rPr>
        <w:t>369cm</w:t>
      </w:r>
      <w:r>
        <w:rPr>
          <w:rFonts w:hint="eastAsia"/>
          <w:vertAlign w:val="superscript"/>
        </w:rPr>
        <w:t>-1</w:t>
      </w:r>
      <w:r>
        <w:rPr>
          <w:rFonts w:hint="eastAsia" w:hAnsi="宋体"/>
        </w:rPr>
        <w:t>、</w:t>
      </w:r>
      <w:r>
        <w:rPr>
          <w:rFonts w:hint="eastAsia"/>
        </w:rPr>
        <w:t>395cm</w:t>
      </w:r>
      <w:r>
        <w:rPr>
          <w:rFonts w:hint="eastAsia"/>
          <w:vertAlign w:val="superscript"/>
        </w:rPr>
        <w:t>-1</w:t>
      </w:r>
      <w:r>
        <w:rPr>
          <w:rFonts w:hint="eastAsia" w:hAnsi="宋体"/>
        </w:rPr>
        <w:t>、</w:t>
      </w:r>
      <w:r>
        <w:rPr>
          <w:rFonts w:hint="eastAsia"/>
        </w:rPr>
        <w:t>418cm</w:t>
      </w:r>
      <w:r>
        <w:rPr>
          <w:rFonts w:hint="eastAsia"/>
          <w:vertAlign w:val="superscript"/>
        </w:rPr>
        <w:t>-1</w:t>
      </w:r>
      <w:r>
        <w:rPr>
          <w:rFonts w:hint="eastAsia" w:hAnsi="宋体"/>
        </w:rPr>
        <w:t>、</w:t>
      </w:r>
      <w:r>
        <w:rPr>
          <w:rFonts w:hint="eastAsia"/>
        </w:rPr>
        <w:t>437cm</w:t>
      </w:r>
      <w:r>
        <w:rPr>
          <w:rFonts w:hint="eastAsia"/>
          <w:vertAlign w:val="superscript"/>
        </w:rPr>
        <w:t>-1</w:t>
      </w:r>
      <w:r>
        <w:rPr>
          <w:rFonts w:hint="eastAsia" w:hAnsi="宋体"/>
        </w:rPr>
        <w:t>、</w:t>
      </w:r>
      <w:r>
        <w:rPr>
          <w:rFonts w:hint="eastAsia"/>
        </w:rPr>
        <w:t>525cm</w:t>
      </w:r>
      <w:r>
        <w:rPr>
          <w:rFonts w:hint="eastAsia"/>
          <w:vertAlign w:val="superscript"/>
        </w:rPr>
        <w:t>-1</w:t>
      </w:r>
      <w:r>
        <w:rPr>
          <w:rFonts w:hint="eastAsia" w:hAnsi="宋体"/>
        </w:rPr>
        <w:t>、</w:t>
      </w:r>
      <w:r>
        <w:rPr>
          <w:rFonts w:hint="eastAsia"/>
        </w:rPr>
        <w:t>674cm</w:t>
      </w:r>
      <w:r>
        <w:rPr>
          <w:rFonts w:hint="eastAsia"/>
          <w:vertAlign w:val="superscript"/>
        </w:rPr>
        <w:t>-1</w:t>
      </w:r>
      <w:r>
        <w:rPr>
          <w:rFonts w:hint="eastAsia" w:hAnsi="宋体"/>
        </w:rPr>
        <w:t>、</w:t>
      </w:r>
      <w:r>
        <w:rPr>
          <w:rFonts w:hint="eastAsia"/>
        </w:rPr>
        <w:t>742cm</w:t>
      </w:r>
      <w:r>
        <w:rPr>
          <w:rFonts w:hint="eastAsia"/>
          <w:vertAlign w:val="superscript"/>
        </w:rPr>
        <w:t>-1</w:t>
      </w:r>
      <w:r>
        <w:rPr>
          <w:rFonts w:hint="eastAsia" w:hAnsi="宋体"/>
        </w:rPr>
        <w:t>、</w:t>
      </w:r>
      <w:r>
        <w:rPr>
          <w:rFonts w:hint="eastAsia"/>
        </w:rPr>
        <w:t>929cm</w:t>
      </w:r>
      <w:r>
        <w:rPr>
          <w:rFonts w:hint="eastAsia"/>
          <w:vertAlign w:val="superscript"/>
        </w:rPr>
        <w:t>-1</w:t>
      </w:r>
      <w:r>
        <w:rPr>
          <w:rFonts w:hint="eastAsia" w:hAnsi="宋体"/>
        </w:rPr>
        <w:t>、</w:t>
      </w:r>
      <w:r>
        <w:rPr>
          <w:rFonts w:hint="eastAsia"/>
        </w:rPr>
        <w:t>1029cm</w:t>
      </w:r>
      <w:r>
        <w:rPr>
          <w:rFonts w:hint="eastAsia"/>
          <w:vertAlign w:val="superscript"/>
        </w:rPr>
        <w:t>-1</w:t>
      </w:r>
      <w:r>
        <w:rPr>
          <w:rFonts w:hint="eastAsia" w:hAnsi="宋体"/>
        </w:rPr>
        <w:t>、</w:t>
      </w:r>
      <w:r>
        <w:rPr>
          <w:rFonts w:hint="eastAsia"/>
        </w:rPr>
        <w:t>1059cm</w:t>
      </w:r>
      <w:r>
        <w:rPr>
          <w:rFonts w:hint="eastAsia"/>
          <w:vertAlign w:val="superscript"/>
        </w:rPr>
        <w:t>-1</w:t>
      </w:r>
      <w:r>
        <w:rPr>
          <w:rFonts w:hint="eastAsia" w:hAnsi="宋体"/>
        </w:rPr>
        <w:t>、</w:t>
      </w:r>
      <w:r>
        <w:rPr>
          <w:rFonts w:hint="eastAsia"/>
        </w:rPr>
        <w:t>3675cm</w:t>
      </w:r>
      <w:r>
        <w:rPr>
          <w:rFonts w:hint="eastAsia"/>
          <w:vertAlign w:val="superscript"/>
        </w:rPr>
        <w:t>-1</w:t>
      </w:r>
      <w:r>
        <w:rPr>
          <w:rFonts w:hint="eastAsia" w:hAnsi="宋体"/>
        </w:rPr>
        <w:t>附近特征拉曼位移峰，参见附录</w:t>
      </w:r>
      <w:r>
        <w:rPr>
          <w:rFonts w:hint="eastAsia"/>
        </w:rPr>
        <w:t>C</w:t>
      </w:r>
      <w:r>
        <w:rPr>
          <w:rFonts w:hint="eastAsia" w:hAnsi="宋体"/>
        </w:rPr>
        <w:t>。</w:t>
      </w:r>
    </w:p>
    <w:p>
      <w:pPr>
        <w:pStyle w:val="86"/>
        <w:spacing w:before="156" w:after="156"/>
      </w:pPr>
      <w:bookmarkStart w:id="71" w:name="_Toc137645725"/>
      <w:r>
        <w:rPr>
          <w:rFonts w:hint="eastAsia"/>
        </w:rPr>
        <w:t>X射线粉晶衍射</w:t>
      </w:r>
      <w:bookmarkEnd w:id="71"/>
    </w:p>
    <w:p>
      <w:pPr>
        <w:pStyle w:val="42"/>
        <w:ind w:firstLine="420"/>
        <w:rPr>
          <w:kern w:val="2"/>
          <w:szCs w:val="21"/>
        </w:rPr>
      </w:pPr>
      <w:r>
        <w:rPr>
          <w:rFonts w:hint="eastAsia"/>
        </w:rPr>
        <w:t>X</w:t>
      </w:r>
      <w:r>
        <w:rPr>
          <w:rFonts w:hint="eastAsia" w:hAnsi="宋体"/>
        </w:rPr>
        <w:t>射线衍射强线主要为：</w:t>
      </w:r>
      <w:r>
        <w:rPr>
          <w:rFonts w:hint="eastAsia"/>
        </w:rPr>
        <w:t>3.11</w:t>
      </w:r>
      <w:r>
        <w:rPr>
          <w:rFonts w:hint="eastAsia" w:hAnsi="宋体"/>
        </w:rPr>
        <w:t>Å、</w:t>
      </w:r>
      <w:r>
        <w:rPr>
          <w:rFonts w:hint="eastAsia"/>
        </w:rPr>
        <w:t>8.38</w:t>
      </w:r>
      <w:r>
        <w:rPr>
          <w:rFonts w:hint="eastAsia" w:hAnsi="宋体"/>
        </w:rPr>
        <w:t>Å、</w:t>
      </w:r>
      <w:r>
        <w:rPr>
          <w:rFonts w:hint="eastAsia"/>
        </w:rPr>
        <w:t>3.26</w:t>
      </w:r>
      <w:r>
        <w:rPr>
          <w:rFonts w:hint="eastAsia" w:hAnsi="宋体"/>
        </w:rPr>
        <w:t>Å、</w:t>
      </w:r>
      <w:r>
        <w:rPr>
          <w:rFonts w:hint="eastAsia"/>
        </w:rPr>
        <w:t>8.97</w:t>
      </w:r>
      <w:r>
        <w:rPr>
          <w:rFonts w:hint="eastAsia" w:hAnsi="宋体"/>
        </w:rPr>
        <w:t>Å、</w:t>
      </w:r>
      <w:r>
        <w:rPr>
          <w:rFonts w:hint="eastAsia"/>
        </w:rPr>
        <w:t>2.70</w:t>
      </w:r>
      <w:r>
        <w:rPr>
          <w:rFonts w:hint="eastAsia" w:hAnsi="宋体"/>
        </w:rPr>
        <w:t>Å、</w:t>
      </w:r>
      <w:r>
        <w:rPr>
          <w:rFonts w:hint="eastAsia"/>
        </w:rPr>
        <w:t>2.53</w:t>
      </w:r>
      <w:r>
        <w:rPr>
          <w:rFonts w:hint="eastAsia" w:hAnsi="宋体"/>
        </w:rPr>
        <w:t>Å、</w:t>
      </w:r>
      <w:r>
        <w:rPr>
          <w:rFonts w:hint="eastAsia"/>
        </w:rPr>
        <w:t>2.93</w:t>
      </w:r>
      <w:r>
        <w:rPr>
          <w:rFonts w:hint="eastAsia" w:hAnsi="宋体"/>
        </w:rPr>
        <w:t>Å、</w:t>
      </w:r>
      <w:r>
        <w:rPr>
          <w:rFonts w:hint="eastAsia"/>
        </w:rPr>
        <w:t>4.49</w:t>
      </w:r>
      <w:r>
        <w:rPr>
          <w:rFonts w:hint="eastAsia" w:hAnsi="宋体"/>
        </w:rPr>
        <w:t>Å、</w:t>
      </w:r>
      <w:r>
        <w:rPr>
          <w:rFonts w:hint="eastAsia"/>
        </w:rPr>
        <w:t>2.59</w:t>
      </w:r>
      <w:r>
        <w:rPr>
          <w:rFonts w:hint="eastAsia" w:hAnsi="宋体"/>
        </w:rPr>
        <w:t>Å、</w:t>
      </w:r>
      <w:r>
        <w:rPr>
          <w:rFonts w:hint="eastAsia"/>
        </w:rPr>
        <w:t>5.08</w:t>
      </w:r>
      <w:r>
        <w:rPr>
          <w:rFonts w:hint="eastAsia" w:hAnsi="宋体"/>
        </w:rPr>
        <w:t>Å等，参见附录</w:t>
      </w:r>
      <w:r>
        <w:rPr>
          <w:rFonts w:hint="eastAsia"/>
        </w:rPr>
        <w:t>D</w:t>
      </w:r>
      <w:r>
        <w:rPr>
          <w:rFonts w:hint="eastAsia" w:hAnsi="宋体"/>
        </w:rPr>
        <w:t>。</w:t>
      </w:r>
    </w:p>
    <w:p>
      <w:pPr>
        <w:pStyle w:val="85"/>
        <w:spacing w:before="312" w:after="312"/>
        <w:rPr>
          <w:color w:val="auto"/>
        </w:rPr>
      </w:pPr>
      <w:bookmarkStart w:id="72" w:name="_Toc137645743"/>
      <w:bookmarkStart w:id="73" w:name="_Toc137645726"/>
      <w:r>
        <w:rPr>
          <w:rFonts w:hint="eastAsia"/>
          <w:color w:val="auto"/>
        </w:rPr>
        <w:t>鉴定项目和方法</w:t>
      </w:r>
      <w:bookmarkEnd w:id="72"/>
      <w:bookmarkEnd w:id="73"/>
    </w:p>
    <w:p>
      <w:pPr>
        <w:pStyle w:val="86"/>
        <w:numPr>
          <w:ilvl w:val="2"/>
          <w:numId w:val="0"/>
        </w:numPr>
        <w:spacing w:before="156" w:after="156"/>
        <w:ind w:leftChars="0" w:firstLine="420" w:firstLineChars="200"/>
        <w:rPr>
          <w:rFonts w:ascii="宋体" w:hAnsi="宋体" w:eastAsia="宋体"/>
          <w:color w:val="auto"/>
          <w:kern w:val="2"/>
          <w:szCs w:val="21"/>
        </w:rPr>
      </w:pPr>
      <w:bookmarkStart w:id="74" w:name="_Toc137645730"/>
      <w:r>
        <w:rPr>
          <w:rFonts w:hint="eastAsia" w:ascii="宋体" w:hAnsi="宋体" w:eastAsia="宋体"/>
          <w:color w:val="auto"/>
        </w:rPr>
        <w:t>梅岭玉的鉴定项目和相应鉴定方法见表</w:t>
      </w:r>
      <w:r>
        <w:rPr>
          <w:rFonts w:hint="eastAsia" w:ascii="宋体" w:hAnsi="宋体" w:eastAsia="宋体" w:cs="Calibri"/>
          <w:color w:val="auto"/>
        </w:rPr>
        <w:t>1</w:t>
      </w:r>
      <w:r>
        <w:rPr>
          <w:rFonts w:hint="eastAsia" w:ascii="宋体" w:hAnsi="宋体" w:eastAsia="宋体"/>
          <w:color w:val="auto"/>
        </w:rPr>
        <w:t>。</w:t>
      </w:r>
      <w:bookmarkEnd w:id="74"/>
    </w:p>
    <w:p>
      <w:pPr>
        <w:pStyle w:val="93"/>
        <w:spacing w:before="156" w:after="156"/>
        <w:rPr>
          <w:color w:val="auto"/>
          <w:kern w:val="2"/>
          <w:szCs w:val="21"/>
        </w:rPr>
      </w:pPr>
      <w:r>
        <w:rPr>
          <w:rFonts w:hint="eastAsia"/>
          <w:color w:val="auto"/>
        </w:rPr>
        <w:t>鉴定项目和方法</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vAlign w:val="center"/>
          </w:tcPr>
          <w:p>
            <w:pPr>
              <w:pStyle w:val="157"/>
              <w:rPr>
                <w:color w:val="auto"/>
                <w:szCs w:val="18"/>
              </w:rPr>
            </w:pPr>
            <w:r>
              <w:rPr>
                <w:rFonts w:hint="eastAsia" w:hAnsi="宋体"/>
                <w:color w:val="auto"/>
              </w:rPr>
              <w:t>鉴定项目</w:t>
            </w:r>
          </w:p>
        </w:tc>
        <w:tc>
          <w:tcPr>
            <w:tcW w:w="1867" w:type="dxa"/>
            <w:tcBorders>
              <w:top w:val="single" w:color="auto" w:sz="8" w:space="0"/>
              <w:bottom w:val="single" w:color="auto" w:sz="8" w:space="0"/>
            </w:tcBorders>
            <w:vAlign w:val="center"/>
          </w:tcPr>
          <w:p>
            <w:pPr>
              <w:pStyle w:val="157"/>
              <w:rPr>
                <w:color w:val="auto"/>
              </w:rPr>
            </w:pPr>
            <w:r>
              <w:rPr>
                <w:rFonts w:hint="eastAsia" w:hAnsi="宋体"/>
                <w:color w:val="auto"/>
              </w:rPr>
              <w:t>鉴定方法</w:t>
            </w:r>
          </w:p>
        </w:tc>
        <w:tc>
          <w:tcPr>
            <w:tcW w:w="1867" w:type="dxa"/>
            <w:tcBorders>
              <w:top w:val="single" w:color="auto" w:sz="8" w:space="0"/>
              <w:bottom w:val="single" w:color="auto" w:sz="8" w:space="0"/>
            </w:tcBorders>
            <w:vAlign w:val="center"/>
          </w:tcPr>
          <w:p>
            <w:pPr>
              <w:pStyle w:val="161"/>
              <w:ind w:firstLine="0" w:firstLineChars="0"/>
              <w:jc w:val="center"/>
              <w:rPr>
                <w:color w:val="auto"/>
              </w:rPr>
            </w:pPr>
            <w:r>
              <w:rPr>
                <w:rFonts w:hint="eastAsia"/>
                <w:color w:val="auto"/>
              </w:rPr>
              <w:t>基本项目</w:t>
            </w:r>
            <w:r>
              <w:rPr>
                <w:color w:val="auto"/>
                <w:vertAlign w:val="superscript"/>
              </w:rPr>
              <w:t>a</w:t>
            </w:r>
          </w:p>
        </w:tc>
        <w:tc>
          <w:tcPr>
            <w:tcW w:w="1867" w:type="dxa"/>
            <w:tcBorders>
              <w:top w:val="single" w:color="auto" w:sz="8" w:space="0"/>
              <w:bottom w:val="single" w:color="auto" w:sz="8" w:space="0"/>
            </w:tcBorders>
            <w:vAlign w:val="center"/>
          </w:tcPr>
          <w:p>
            <w:pPr>
              <w:pStyle w:val="157"/>
              <w:rPr>
                <w:color w:val="auto"/>
              </w:rPr>
            </w:pPr>
            <w:r>
              <w:rPr>
                <w:rFonts w:hint="eastAsia" w:hAnsi="宋体"/>
                <w:color w:val="auto"/>
              </w:rPr>
              <w:t>可选项目</w:t>
            </w:r>
            <w:r>
              <w:rPr>
                <w:rFonts w:hAnsi="宋体"/>
                <w:color w:val="auto"/>
                <w:vertAlign w:val="superscript"/>
              </w:rPr>
              <w:t>b</w:t>
            </w:r>
          </w:p>
        </w:tc>
        <w:tc>
          <w:tcPr>
            <w:tcW w:w="1867" w:type="dxa"/>
            <w:tcBorders>
              <w:top w:val="single" w:color="auto" w:sz="8" w:space="0"/>
              <w:bottom w:val="single" w:color="auto" w:sz="8" w:space="0"/>
            </w:tcBorders>
            <w:vAlign w:val="center"/>
          </w:tcPr>
          <w:p>
            <w:pPr>
              <w:pStyle w:val="157"/>
              <w:rPr>
                <w:color w:val="auto"/>
              </w:rPr>
            </w:pPr>
            <w:r>
              <w:rPr>
                <w:rFonts w:hint="eastAsia" w:hAnsi="宋体"/>
                <w:color w:val="auto"/>
              </w:rPr>
              <w:t>鉴定方法标准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vAlign w:val="center"/>
          </w:tcPr>
          <w:p>
            <w:pPr>
              <w:pStyle w:val="157"/>
              <w:rPr>
                <w:color w:val="auto"/>
                <w:szCs w:val="18"/>
              </w:rPr>
            </w:pPr>
            <w:r>
              <w:rPr>
                <w:rFonts w:hint="eastAsia" w:hAnsi="宋体"/>
                <w:color w:val="auto"/>
              </w:rPr>
              <w:t>外观特征</w:t>
            </w:r>
          </w:p>
        </w:tc>
        <w:tc>
          <w:tcPr>
            <w:tcW w:w="1867" w:type="dxa"/>
            <w:tcBorders>
              <w:top w:val="single" w:color="auto" w:sz="8" w:space="0"/>
            </w:tcBorders>
            <w:vAlign w:val="center"/>
          </w:tcPr>
          <w:p>
            <w:pPr>
              <w:pStyle w:val="157"/>
              <w:rPr>
                <w:color w:val="auto"/>
              </w:rPr>
            </w:pPr>
            <w:r>
              <w:rPr>
                <w:rFonts w:hint="eastAsia" w:hAnsi="宋体"/>
                <w:color w:val="auto"/>
              </w:rPr>
              <w:t>肉眼观察</w:t>
            </w:r>
          </w:p>
        </w:tc>
        <w:tc>
          <w:tcPr>
            <w:tcW w:w="1867" w:type="dxa"/>
            <w:tcBorders>
              <w:top w:val="single" w:color="auto" w:sz="8" w:space="0"/>
            </w:tcBorders>
            <w:vAlign w:val="center"/>
          </w:tcPr>
          <w:p>
            <w:pPr>
              <w:pStyle w:val="157"/>
              <w:rPr>
                <w:color w:val="auto"/>
              </w:rPr>
            </w:pPr>
            <w:r>
              <w:rPr>
                <w:rFonts w:hint="eastAsia" w:hAnsi="宋体"/>
                <w:color w:val="auto"/>
              </w:rPr>
              <w:t>√</w:t>
            </w:r>
          </w:p>
        </w:tc>
        <w:tc>
          <w:tcPr>
            <w:tcW w:w="1867" w:type="dxa"/>
            <w:tcBorders>
              <w:top w:val="single" w:color="auto" w:sz="8" w:space="0"/>
            </w:tcBorders>
            <w:vAlign w:val="center"/>
          </w:tcPr>
          <w:p>
            <w:pPr>
              <w:pStyle w:val="157"/>
              <w:rPr>
                <w:color w:val="auto"/>
              </w:rPr>
            </w:pPr>
            <w:r>
              <w:rPr>
                <w:rFonts w:hint="eastAsia" w:hAnsi="宋体"/>
                <w:color w:val="auto"/>
              </w:rPr>
              <w:t>—</w:t>
            </w:r>
          </w:p>
        </w:tc>
        <w:tc>
          <w:tcPr>
            <w:tcW w:w="1867" w:type="dxa"/>
            <w:vMerge w:val="restart"/>
            <w:tcBorders>
              <w:top w:val="single" w:color="auto" w:sz="8" w:space="0"/>
            </w:tcBorders>
            <w:vAlign w:val="center"/>
          </w:tcPr>
          <w:p>
            <w:pPr>
              <w:pStyle w:val="157"/>
              <w:rPr>
                <w:color w:val="auto"/>
              </w:rPr>
            </w:pPr>
            <w:r>
              <w:rPr>
                <w:color w:val="auto"/>
              </w:rPr>
              <w:t>GB/T 16553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vAlign w:val="center"/>
          </w:tcPr>
          <w:p>
            <w:pPr>
              <w:pStyle w:val="157"/>
              <w:rPr>
                <w:color w:val="auto"/>
              </w:rPr>
            </w:pPr>
            <w:r>
              <w:rPr>
                <w:rFonts w:hint="eastAsia" w:hAnsi="宋体"/>
                <w:color w:val="auto"/>
              </w:rPr>
              <w:t>放大检查</w:t>
            </w:r>
          </w:p>
        </w:tc>
        <w:tc>
          <w:tcPr>
            <w:tcW w:w="1867" w:type="dxa"/>
            <w:vAlign w:val="center"/>
          </w:tcPr>
          <w:p>
            <w:pPr>
              <w:pStyle w:val="157"/>
              <w:rPr>
                <w:color w:val="auto"/>
              </w:rPr>
            </w:pPr>
            <w:r>
              <w:rPr>
                <w:rFonts w:hint="eastAsia" w:hAnsi="宋体"/>
                <w:color w:val="auto"/>
              </w:rPr>
              <w:t>宝石显微镜观察</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pPr>
              <w:pStyle w:val="157"/>
              <w:rPr>
                <w:color w:val="auto"/>
                <w:szCs w:val="18"/>
              </w:rPr>
            </w:pPr>
          </w:p>
        </w:tc>
        <w:tc>
          <w:tcPr>
            <w:tcW w:w="1867" w:type="dxa"/>
            <w:vAlign w:val="center"/>
          </w:tcPr>
          <w:p>
            <w:pPr>
              <w:pStyle w:val="157"/>
              <w:rPr>
                <w:color w:val="auto"/>
              </w:rPr>
            </w:pPr>
            <w:r>
              <w:rPr>
                <w:rFonts w:hint="eastAsia" w:hAnsi="宋体"/>
                <w:color w:val="auto"/>
              </w:rPr>
              <w:t>偏光显微镜鉴定</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szCs w:val="18"/>
              </w:rPr>
            </w:pPr>
            <w:r>
              <w:rPr>
                <w:rFonts w:hint="eastAsia" w:hAnsi="宋体"/>
                <w:color w:val="auto"/>
              </w:rPr>
              <w:t>DZ/T 0275.4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摩氏硬度</w:t>
            </w:r>
          </w:p>
        </w:tc>
        <w:tc>
          <w:tcPr>
            <w:tcW w:w="1867" w:type="dxa"/>
            <w:vAlign w:val="center"/>
          </w:tcPr>
          <w:p>
            <w:pPr>
              <w:pStyle w:val="157"/>
              <w:rPr>
                <w:color w:val="auto"/>
              </w:rPr>
            </w:pPr>
            <w:r>
              <w:rPr>
                <w:rFonts w:hint="eastAsia" w:hAnsi="宋体"/>
                <w:color w:val="auto"/>
              </w:rPr>
              <w:t>摩氏硬度</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restart"/>
            <w:vAlign w:val="center"/>
          </w:tcPr>
          <w:p>
            <w:pPr>
              <w:pStyle w:val="157"/>
              <w:rPr>
                <w:color w:val="auto"/>
              </w:rPr>
            </w:pPr>
            <w:r>
              <w:rPr>
                <w:rFonts w:hint="eastAsia" w:hAnsi="宋体"/>
                <w:color w:val="auto"/>
              </w:rPr>
              <w:t>GB/T 16553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密度</w:t>
            </w:r>
          </w:p>
        </w:tc>
        <w:tc>
          <w:tcPr>
            <w:tcW w:w="1867" w:type="dxa"/>
            <w:vAlign w:val="center"/>
          </w:tcPr>
          <w:p>
            <w:pPr>
              <w:pStyle w:val="157"/>
              <w:rPr>
                <w:color w:val="auto"/>
              </w:rPr>
            </w:pPr>
            <w:r>
              <w:rPr>
                <w:rFonts w:hint="eastAsia" w:hAnsi="宋体"/>
                <w:color w:val="auto"/>
              </w:rPr>
              <w:t>静水称重法</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光性特征</w:t>
            </w:r>
          </w:p>
        </w:tc>
        <w:tc>
          <w:tcPr>
            <w:tcW w:w="1867" w:type="dxa"/>
            <w:vAlign w:val="center"/>
          </w:tcPr>
          <w:p>
            <w:pPr>
              <w:pStyle w:val="157"/>
              <w:rPr>
                <w:color w:val="auto"/>
              </w:rPr>
            </w:pPr>
            <w:r>
              <w:rPr>
                <w:rFonts w:hint="eastAsia" w:hAnsi="宋体"/>
                <w:color w:val="auto"/>
              </w:rPr>
              <w:t>偏光镜检测</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折射率</w:t>
            </w:r>
          </w:p>
        </w:tc>
        <w:tc>
          <w:tcPr>
            <w:tcW w:w="1867" w:type="dxa"/>
            <w:vAlign w:val="center"/>
          </w:tcPr>
          <w:p>
            <w:pPr>
              <w:pStyle w:val="157"/>
              <w:rPr>
                <w:color w:val="auto"/>
              </w:rPr>
            </w:pPr>
            <w:r>
              <w:rPr>
                <w:rFonts w:hint="eastAsia" w:hAnsi="宋体"/>
                <w:color w:val="auto"/>
              </w:rPr>
              <w:t>阿贝型宝石折射仪</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荧光观察</w:t>
            </w:r>
          </w:p>
        </w:tc>
        <w:tc>
          <w:tcPr>
            <w:tcW w:w="1867" w:type="dxa"/>
            <w:vAlign w:val="center"/>
          </w:tcPr>
          <w:p>
            <w:pPr>
              <w:pStyle w:val="157"/>
              <w:rPr>
                <w:color w:val="auto"/>
              </w:rPr>
            </w:pPr>
            <w:r>
              <w:rPr>
                <w:rFonts w:hint="eastAsia" w:hAnsi="宋体"/>
                <w:color w:val="auto"/>
              </w:rPr>
              <w:t>紫外灯检测</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Align w:val="center"/>
          </w:tcPr>
          <w:p>
            <w:pPr>
              <w:pStyle w:val="157"/>
              <w:rPr>
                <w:color w:val="auto"/>
              </w:rPr>
            </w:pPr>
            <w:r>
              <w:rPr>
                <w:rFonts w:hint="eastAsia" w:hAnsi="宋体"/>
                <w:color w:val="auto"/>
              </w:rPr>
              <w:t>紫外可见光谱</w:t>
            </w:r>
          </w:p>
        </w:tc>
        <w:tc>
          <w:tcPr>
            <w:tcW w:w="1867" w:type="dxa"/>
            <w:vAlign w:val="center"/>
          </w:tcPr>
          <w:p>
            <w:pPr>
              <w:pStyle w:val="157"/>
              <w:rPr>
                <w:color w:val="auto"/>
              </w:rPr>
            </w:pPr>
            <w:r>
              <w:rPr>
                <w:rFonts w:hint="eastAsia" w:hAnsi="宋体"/>
                <w:color w:val="auto"/>
              </w:rPr>
              <w:t>紫外可见光谱分析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vAlign w:val="center"/>
          </w:tcPr>
          <w:p>
            <w:pPr>
              <w:pStyle w:val="157"/>
              <w:rPr>
                <w:color w:val="auto"/>
              </w:rPr>
            </w:pPr>
            <w:r>
              <w:rPr>
                <w:rFonts w:hint="eastAsia"/>
                <w:color w:val="auto"/>
              </w:rPr>
              <w:t>矿物成分</w:t>
            </w:r>
          </w:p>
        </w:tc>
        <w:tc>
          <w:tcPr>
            <w:tcW w:w="1867" w:type="dxa"/>
            <w:vAlign w:val="center"/>
          </w:tcPr>
          <w:p>
            <w:pPr>
              <w:pStyle w:val="157"/>
              <w:rPr>
                <w:color w:val="auto"/>
                <w:szCs w:val="18"/>
              </w:rPr>
            </w:pPr>
            <w:r>
              <w:rPr>
                <w:rFonts w:hint="eastAsia" w:hAnsi="宋体"/>
                <w:color w:val="auto"/>
              </w:rPr>
              <w:t>红外吸收光谱分析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pPr>
              <w:pStyle w:val="157"/>
              <w:rPr>
                <w:color w:val="auto"/>
              </w:rPr>
            </w:pPr>
          </w:p>
        </w:tc>
        <w:tc>
          <w:tcPr>
            <w:tcW w:w="1867" w:type="dxa"/>
            <w:vAlign w:val="center"/>
          </w:tcPr>
          <w:p>
            <w:pPr>
              <w:pStyle w:val="157"/>
              <w:rPr>
                <w:color w:val="auto"/>
              </w:rPr>
            </w:pPr>
            <w:r>
              <w:rPr>
                <w:rFonts w:hint="eastAsia" w:hAnsi="宋体"/>
                <w:color w:val="auto"/>
              </w:rPr>
              <w:t>激光拉曼光谱分析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pPr>
              <w:pStyle w:val="157"/>
              <w:rPr>
                <w:color w:val="auto"/>
              </w:rPr>
            </w:pPr>
          </w:p>
        </w:tc>
        <w:tc>
          <w:tcPr>
            <w:tcW w:w="1867" w:type="dxa"/>
            <w:vAlign w:val="center"/>
          </w:tcPr>
          <w:p>
            <w:pPr>
              <w:pStyle w:val="157"/>
              <w:rPr>
                <w:color w:val="auto"/>
              </w:rPr>
            </w:pPr>
            <w:r>
              <w:rPr>
                <w:rFonts w:hint="eastAsia" w:hAnsi="宋体"/>
                <w:color w:val="auto"/>
              </w:rPr>
              <w:t>X射线粉晶衍射分析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vAlign w:val="center"/>
          </w:tcPr>
          <w:p>
            <w:pPr>
              <w:pStyle w:val="157"/>
              <w:rPr>
                <w:color w:val="auto"/>
              </w:rPr>
            </w:pPr>
            <w:r>
              <w:rPr>
                <w:rFonts w:hint="eastAsia"/>
                <w:color w:val="auto"/>
              </w:rPr>
              <w:t>化学成分</w:t>
            </w:r>
          </w:p>
        </w:tc>
        <w:tc>
          <w:tcPr>
            <w:tcW w:w="1867" w:type="dxa"/>
            <w:vAlign w:val="center"/>
          </w:tcPr>
          <w:p>
            <w:pPr>
              <w:pStyle w:val="157"/>
              <w:rPr>
                <w:color w:val="auto"/>
              </w:rPr>
            </w:pPr>
            <w:r>
              <w:rPr>
                <w:rFonts w:hint="eastAsia" w:hAnsi="宋体"/>
                <w:color w:val="auto"/>
              </w:rPr>
              <w:t>X射线荧光光谱分析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vAlign w:val="center"/>
          </w:tcPr>
          <w:p>
            <w:pPr>
              <w:pStyle w:val="157"/>
              <w:rPr>
                <w:color w:val="auto"/>
              </w:rPr>
            </w:pPr>
          </w:p>
        </w:tc>
        <w:tc>
          <w:tcPr>
            <w:tcW w:w="1867" w:type="dxa"/>
            <w:vAlign w:val="center"/>
          </w:tcPr>
          <w:p>
            <w:pPr>
              <w:pStyle w:val="157"/>
              <w:rPr>
                <w:color w:val="auto"/>
              </w:rPr>
            </w:pPr>
            <w:r>
              <w:rPr>
                <w:rFonts w:hint="eastAsia" w:hAnsi="宋体"/>
                <w:color w:val="auto"/>
              </w:rPr>
              <w:t>电子探针（EPMA）分析</w:t>
            </w:r>
          </w:p>
        </w:tc>
        <w:tc>
          <w:tcPr>
            <w:tcW w:w="1867" w:type="dxa"/>
            <w:vAlign w:val="center"/>
          </w:tcPr>
          <w:p>
            <w:pPr>
              <w:pStyle w:val="157"/>
              <w:rPr>
                <w:color w:val="auto"/>
              </w:rPr>
            </w:pPr>
            <w:r>
              <w:rPr>
                <w:rFonts w:hint="eastAsia" w:hAnsi="宋体"/>
                <w:color w:val="auto"/>
              </w:rPr>
              <w:t>—</w:t>
            </w:r>
          </w:p>
        </w:tc>
        <w:tc>
          <w:tcPr>
            <w:tcW w:w="1867" w:type="dxa"/>
            <w:vAlign w:val="center"/>
          </w:tcPr>
          <w:p>
            <w:pPr>
              <w:pStyle w:val="157"/>
              <w:rPr>
                <w:color w:val="auto"/>
              </w:rPr>
            </w:pPr>
            <w:r>
              <w:rPr>
                <w:rFonts w:hint="eastAsia" w:hAnsi="宋体"/>
                <w:color w:val="auto"/>
              </w:rPr>
              <w:t>√</w:t>
            </w:r>
          </w:p>
        </w:tc>
        <w:tc>
          <w:tcPr>
            <w:tcW w:w="1867" w:type="dxa"/>
            <w:vMerge w:val="continue"/>
            <w:vAlign w:val="center"/>
          </w:tcPr>
          <w:p>
            <w:pPr>
              <w:pStyle w:val="157"/>
              <w:rPr>
                <w:color w:val="auto"/>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bottom w:val="single" w:color="auto" w:sz="8" w:space="0"/>
            </w:tcBorders>
            <w:shd w:val="clear" w:color="auto" w:fill="auto"/>
            <w:vAlign w:val="center"/>
          </w:tcPr>
          <w:p>
            <w:pPr>
              <w:pStyle w:val="83"/>
              <w:rPr>
                <w:color w:val="auto"/>
              </w:rPr>
            </w:pPr>
            <w:r>
              <w:rPr>
                <w:color w:val="auto"/>
              </w:rPr>
              <w:t>确保鉴定结论准确性和唯一性的应鉴定项目和方法</w:t>
            </w:r>
            <w:r>
              <w:rPr>
                <w:rFonts w:hint="eastAsia"/>
                <w:color w:val="auto"/>
              </w:rPr>
              <w:t>；</w:t>
            </w:r>
          </w:p>
          <w:p>
            <w:pPr>
              <w:pStyle w:val="83"/>
              <w:rPr>
                <w:color w:val="auto"/>
              </w:rPr>
            </w:pPr>
            <w:r>
              <w:rPr>
                <w:rFonts w:hint="eastAsia"/>
                <w:color w:val="auto"/>
              </w:rPr>
              <w:t>为鉴定结论提供补充性依据，因样品或仪器设备限制，根据情况选择的项目和方法。</w:t>
            </w:r>
          </w:p>
        </w:tc>
      </w:tr>
    </w:tbl>
    <w:p>
      <w:pPr>
        <w:pStyle w:val="85"/>
        <w:spacing w:before="312" w:after="312"/>
        <w:rPr>
          <w:color w:val="auto"/>
        </w:rPr>
      </w:pPr>
      <w:bookmarkStart w:id="75" w:name="_Toc137645744"/>
      <w:bookmarkStart w:id="76" w:name="_Toc137645731"/>
      <w:r>
        <w:rPr>
          <w:rFonts w:hint="eastAsia"/>
          <w:color w:val="auto"/>
        </w:rPr>
        <w:t>命名规则</w:t>
      </w:r>
      <w:bookmarkEnd w:id="75"/>
      <w:bookmarkEnd w:id="76"/>
    </w:p>
    <w:p>
      <w:pPr>
        <w:pStyle w:val="42"/>
        <w:ind w:firstLine="420"/>
        <w:rPr>
          <w:rFonts w:hint="eastAsia"/>
          <w:color w:val="auto"/>
        </w:rPr>
      </w:pPr>
      <w:r>
        <w:rPr>
          <w:rFonts w:hint="eastAsia"/>
          <w:color w:val="auto"/>
        </w:rPr>
        <w:t>命名为梅岭玉。</w:t>
      </w:r>
    </w:p>
    <w:p>
      <w:pPr>
        <w:pStyle w:val="42"/>
        <w:ind w:firstLine="420"/>
        <w:rPr>
          <w:rFonts w:hint="eastAsia"/>
          <w:color w:val="auto"/>
        </w:rPr>
      </w:pPr>
    </w:p>
    <w:p>
      <w:pPr>
        <w:pStyle w:val="42"/>
        <w:ind w:firstLine="420"/>
        <w:rPr>
          <w:rFonts w:hint="eastAsia"/>
          <w:color w:val="FF0000"/>
        </w:rPr>
      </w:pPr>
    </w:p>
    <w:p>
      <w:pPr>
        <w:pStyle w:val="42"/>
        <w:ind w:firstLine="420"/>
        <w:rPr>
          <w:rFonts w:hint="eastAsia"/>
          <w:color w:val="FF0000"/>
        </w:rPr>
      </w:pPr>
    </w:p>
    <w:p>
      <w:pPr>
        <w:pStyle w:val="42"/>
        <w:ind w:firstLine="420"/>
        <w:rPr>
          <w:rFonts w:hint="eastAsia"/>
          <w:color w:val="FF0000"/>
        </w:rPr>
      </w:pPr>
    </w:p>
    <w:p>
      <w:pPr>
        <w:pStyle w:val="42"/>
        <w:ind w:firstLine="420"/>
        <w:rPr>
          <w:rFonts w:hint="eastAsia"/>
          <w:color w:val="FF0000"/>
        </w:rPr>
      </w:pPr>
    </w:p>
    <w:p>
      <w:pPr>
        <w:pStyle w:val="42"/>
        <w:ind w:firstLine="420"/>
        <w:rPr>
          <w:rFonts w:hint="eastAsia"/>
          <w:color w:val="FF0000"/>
        </w:rPr>
      </w:pPr>
    </w:p>
    <w:p>
      <w:pPr>
        <w:pStyle w:val="42"/>
        <w:ind w:firstLine="420"/>
        <w:rPr>
          <w:rFonts w:hint="eastAsia"/>
          <w:color w:val="FF0000"/>
        </w:rPr>
      </w:pPr>
    </w:p>
    <w:p>
      <w:pPr>
        <w:pStyle w:val="85"/>
        <w:spacing w:before="312" w:after="312"/>
      </w:pPr>
      <w:bookmarkStart w:id="77" w:name="_Toc137645745"/>
      <w:bookmarkStart w:id="78" w:name="_Toc137645732"/>
      <w:r>
        <w:rPr>
          <w:rFonts w:hint="eastAsia"/>
        </w:rPr>
        <w:t>鉴定证书</w:t>
      </w:r>
      <w:bookmarkEnd w:id="77"/>
      <w:bookmarkEnd w:id="78"/>
    </w:p>
    <w:p>
      <w:pPr>
        <w:pStyle w:val="42"/>
        <w:ind w:firstLine="420"/>
      </w:pPr>
      <w:r>
        <w:rPr>
          <w:rFonts w:hint="eastAsia"/>
        </w:rPr>
        <w:t>鉴定证书</w:t>
      </w:r>
      <w:bookmarkStart w:id="92" w:name="_GoBack"/>
      <w:r>
        <w:rPr>
          <w:rFonts w:hint="eastAsia"/>
          <w:color w:val="auto"/>
        </w:rPr>
        <w:t>应</w:t>
      </w:r>
      <w:bookmarkEnd w:id="92"/>
      <w:r>
        <w:rPr>
          <w:rFonts w:hint="eastAsia"/>
        </w:rPr>
        <w:t>包含以下内容：</w:t>
      </w:r>
    </w:p>
    <w:p>
      <w:pPr>
        <w:pStyle w:val="204"/>
        <w:numPr>
          <w:ilvl w:val="0"/>
          <w:numId w:val="32"/>
        </w:numPr>
        <w:adjustRightInd w:val="0"/>
        <w:snapToGrid w:val="0"/>
        <w:spacing w:line="360" w:lineRule="exact"/>
        <w:ind w:firstLineChars="0"/>
        <w:rPr>
          <w:rFonts w:hAnsi="宋体"/>
        </w:rPr>
      </w:pPr>
      <w:r>
        <w:rPr>
          <w:rFonts w:hAnsi="宋体"/>
        </w:rPr>
        <w:t>证书（报告）</w:t>
      </w:r>
      <w:r>
        <w:rPr>
          <w:rFonts w:hint="eastAsia" w:hAnsi="宋体"/>
        </w:rPr>
        <w:t>唯一性编号；</w:t>
      </w:r>
    </w:p>
    <w:p>
      <w:pPr>
        <w:pStyle w:val="204"/>
        <w:numPr>
          <w:ilvl w:val="0"/>
          <w:numId w:val="32"/>
        </w:numPr>
        <w:adjustRightInd w:val="0"/>
        <w:snapToGrid w:val="0"/>
        <w:spacing w:line="360" w:lineRule="exact"/>
        <w:ind w:firstLineChars="0"/>
        <w:rPr>
          <w:rFonts w:hAnsi="宋体"/>
        </w:rPr>
      </w:pPr>
      <w:r>
        <w:rPr>
          <w:rFonts w:hint="eastAsia" w:hAnsi="宋体"/>
        </w:rPr>
        <w:t>鉴定结论；</w:t>
      </w:r>
    </w:p>
    <w:p>
      <w:pPr>
        <w:pStyle w:val="204"/>
        <w:numPr>
          <w:ilvl w:val="0"/>
          <w:numId w:val="32"/>
        </w:numPr>
        <w:adjustRightInd w:val="0"/>
        <w:snapToGrid w:val="0"/>
        <w:spacing w:line="360" w:lineRule="exact"/>
        <w:ind w:firstLineChars="0"/>
        <w:rPr>
          <w:rFonts w:hAnsi="宋体"/>
        </w:rPr>
      </w:pPr>
      <w:r>
        <w:rPr>
          <w:rFonts w:hint="eastAsia" w:hAnsi="宋体"/>
        </w:rPr>
        <w:t>实物照片；</w:t>
      </w:r>
    </w:p>
    <w:p>
      <w:pPr>
        <w:pStyle w:val="204"/>
        <w:numPr>
          <w:ilvl w:val="0"/>
          <w:numId w:val="32"/>
        </w:numPr>
        <w:adjustRightInd w:val="0"/>
        <w:snapToGrid w:val="0"/>
        <w:spacing w:line="360" w:lineRule="exact"/>
        <w:ind w:firstLineChars="0"/>
        <w:rPr>
          <w:rFonts w:hAnsi="宋体"/>
        </w:rPr>
      </w:pPr>
      <w:r>
        <w:rPr>
          <w:rFonts w:hint="eastAsia" w:hAnsi="宋体"/>
        </w:rPr>
        <w:t>质量或规格；</w:t>
      </w:r>
    </w:p>
    <w:p>
      <w:pPr>
        <w:pStyle w:val="204"/>
        <w:numPr>
          <w:ilvl w:val="0"/>
          <w:numId w:val="32"/>
        </w:numPr>
        <w:adjustRightInd w:val="0"/>
        <w:snapToGrid w:val="0"/>
        <w:spacing w:line="360" w:lineRule="exact"/>
        <w:ind w:firstLineChars="0"/>
        <w:rPr>
          <w:rFonts w:hAnsi="宋体"/>
        </w:rPr>
      </w:pPr>
      <w:r>
        <w:rPr>
          <w:rFonts w:hint="eastAsia" w:hAnsi="宋体"/>
        </w:rPr>
        <w:t>鉴定项目</w:t>
      </w:r>
      <w:r>
        <w:rPr>
          <w:rFonts w:hint="eastAsia" w:hAnsi="宋体"/>
          <w:lang w:eastAsia="zh-CN"/>
        </w:rPr>
        <w:t>（</w:t>
      </w:r>
      <w:r>
        <w:rPr>
          <w:rFonts w:hint="eastAsia" w:hAnsi="宋体"/>
          <w:lang w:val="en-US" w:eastAsia="zh-CN"/>
        </w:rPr>
        <w:t>见表1</w:t>
      </w:r>
      <w:r>
        <w:rPr>
          <w:rFonts w:hint="eastAsia" w:hAnsi="宋体"/>
          <w:lang w:eastAsia="zh-CN"/>
        </w:rPr>
        <w:t>）</w:t>
      </w:r>
      <w:r>
        <w:rPr>
          <w:rFonts w:hint="eastAsia" w:hAnsi="宋体"/>
        </w:rPr>
        <w:t>；</w:t>
      </w:r>
    </w:p>
    <w:p>
      <w:pPr>
        <w:pStyle w:val="204"/>
        <w:numPr>
          <w:ilvl w:val="0"/>
          <w:numId w:val="32"/>
        </w:numPr>
        <w:adjustRightInd w:val="0"/>
        <w:snapToGrid w:val="0"/>
        <w:spacing w:line="360" w:lineRule="exact"/>
        <w:ind w:firstLineChars="0"/>
        <w:rPr>
          <w:rFonts w:hAnsi="宋体"/>
        </w:rPr>
      </w:pPr>
      <w:r>
        <w:rPr>
          <w:rFonts w:hint="eastAsia" w:hAnsi="宋体"/>
        </w:rPr>
        <w:t>执行标准；</w:t>
      </w:r>
    </w:p>
    <w:p>
      <w:pPr>
        <w:pStyle w:val="204"/>
        <w:numPr>
          <w:ilvl w:val="0"/>
          <w:numId w:val="32"/>
        </w:numPr>
        <w:adjustRightInd w:val="0"/>
        <w:snapToGrid w:val="0"/>
        <w:spacing w:line="360" w:lineRule="exact"/>
        <w:ind w:firstLineChars="0"/>
        <w:rPr>
          <w:rFonts w:hAnsi="宋体"/>
        </w:rPr>
      </w:pPr>
      <w:r>
        <w:rPr>
          <w:rFonts w:hint="eastAsia" w:hAnsi="宋体"/>
        </w:rPr>
        <w:t>检验检测机构名称和地址；</w:t>
      </w:r>
    </w:p>
    <w:p>
      <w:pPr>
        <w:pStyle w:val="204"/>
        <w:numPr>
          <w:ilvl w:val="0"/>
          <w:numId w:val="32"/>
        </w:numPr>
        <w:adjustRightInd w:val="0"/>
        <w:snapToGrid w:val="0"/>
        <w:spacing w:line="360" w:lineRule="exact"/>
        <w:ind w:firstLineChars="0"/>
        <w:rPr>
          <w:rFonts w:hAnsi="宋体"/>
        </w:rPr>
      </w:pPr>
      <w:r>
        <w:rPr>
          <w:rFonts w:hint="eastAsia" w:hAnsi="宋体"/>
        </w:rPr>
        <w:t>联系电话；</w:t>
      </w:r>
    </w:p>
    <w:p>
      <w:pPr>
        <w:pStyle w:val="204"/>
        <w:numPr>
          <w:ilvl w:val="0"/>
          <w:numId w:val="32"/>
        </w:numPr>
        <w:adjustRightInd w:val="0"/>
        <w:snapToGrid w:val="0"/>
        <w:spacing w:line="360" w:lineRule="exact"/>
        <w:ind w:firstLineChars="0"/>
        <w:rPr>
          <w:rFonts w:hAnsi="宋体"/>
        </w:rPr>
      </w:pPr>
      <w:r>
        <w:rPr>
          <w:rFonts w:hint="eastAsia" w:hAnsi="宋体"/>
        </w:rPr>
        <w:t>鉴定和批准（签发）人员；</w:t>
      </w:r>
    </w:p>
    <w:p>
      <w:pPr>
        <w:pStyle w:val="204"/>
        <w:numPr>
          <w:ilvl w:val="0"/>
          <w:numId w:val="32"/>
        </w:numPr>
        <w:adjustRightInd w:val="0"/>
        <w:snapToGrid w:val="0"/>
        <w:spacing w:line="360" w:lineRule="exact"/>
        <w:ind w:firstLineChars="0"/>
        <w:rPr>
          <w:rFonts w:hAnsi="宋体"/>
        </w:rPr>
      </w:pPr>
      <w:r>
        <w:rPr>
          <w:rFonts w:hint="eastAsia" w:hAnsi="宋体"/>
        </w:rPr>
        <w:t>签章和日期；</w:t>
      </w:r>
    </w:p>
    <w:p>
      <w:pPr>
        <w:pStyle w:val="204"/>
        <w:numPr>
          <w:ilvl w:val="0"/>
          <w:numId w:val="32"/>
        </w:numPr>
        <w:adjustRightInd w:val="0"/>
        <w:snapToGrid w:val="0"/>
        <w:spacing w:line="360" w:lineRule="exact"/>
        <w:ind w:firstLineChars="0"/>
        <w:rPr>
          <w:rFonts w:hAnsi="宋体"/>
        </w:rPr>
      </w:pPr>
      <w:r>
        <w:rPr>
          <w:rFonts w:hint="eastAsia" w:hAnsi="宋体"/>
        </w:rPr>
        <w:t>有效资质证明标识</w:t>
      </w:r>
      <w:r>
        <w:rPr>
          <w:rFonts w:hint="eastAsia" w:hAnsi="宋体"/>
          <w:lang w:eastAsia="zh-CN"/>
        </w:rPr>
        <w:t>。</w:t>
      </w:r>
    </w:p>
    <w:p>
      <w:pPr>
        <w:pStyle w:val="42"/>
        <w:ind w:firstLine="420"/>
        <w:rPr>
          <w:b/>
          <w:bCs/>
        </w:rPr>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pPr>
    </w:p>
    <w:p>
      <w:pPr>
        <w:pStyle w:val="42"/>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720" w:num="1"/>
          <w:formProt w:val="0"/>
          <w:docGrid w:type="lines" w:linePitch="312" w:charSpace="0"/>
        </w:sectPr>
      </w:pPr>
    </w:p>
    <w:bookmarkEnd w:id="25"/>
    <w:p>
      <w:pPr>
        <w:pStyle w:val="174"/>
      </w:pPr>
      <w:bookmarkStart w:id="79" w:name="BookMark5"/>
    </w:p>
    <w:p>
      <w:pPr>
        <w:pStyle w:val="175"/>
      </w:pPr>
    </w:p>
    <w:p>
      <w:pPr>
        <w:pStyle w:val="61"/>
        <w:spacing w:after="156"/>
        <w:rPr>
          <w:color w:val="auto"/>
        </w:rPr>
      </w:pPr>
      <w:r>
        <w:rPr>
          <w:color w:val="auto"/>
        </w:rPr>
        <w:br w:type="textWrapping"/>
      </w:r>
      <w:bookmarkStart w:id="80" w:name="_Toc137645733"/>
      <w:bookmarkStart w:id="81" w:name="_Toc137645746"/>
      <w:r>
        <w:rPr>
          <w:rFonts w:hint="eastAsia"/>
          <w:color w:val="auto"/>
        </w:rPr>
        <w:t>（资料性）</w:t>
      </w:r>
      <w:r>
        <w:rPr>
          <w:color w:val="auto"/>
        </w:rPr>
        <w:br w:type="textWrapping"/>
      </w:r>
      <w:r>
        <w:rPr>
          <w:rFonts w:hint="eastAsia"/>
          <w:color w:val="auto"/>
        </w:rPr>
        <w:t>梅岭玉化学成分</w:t>
      </w:r>
      <w:bookmarkEnd w:id="80"/>
      <w:bookmarkEnd w:id="81"/>
      <w:r>
        <w:rPr>
          <w:rFonts w:hint="eastAsia"/>
          <w:color w:val="auto"/>
        </w:rPr>
        <w:t>及其透闪石晶体化学式</w:t>
      </w:r>
    </w:p>
    <w:p>
      <w:pPr>
        <w:pStyle w:val="42"/>
        <w:ind w:firstLine="420"/>
        <w:rPr>
          <w:color w:val="auto"/>
        </w:rPr>
      </w:pPr>
      <w:r>
        <w:rPr>
          <w:rFonts w:hint="eastAsia"/>
          <w:color w:val="auto"/>
        </w:rPr>
        <w:t>梅岭玉化学成分及其透闪石晶体化学式见表A.1。</w:t>
      </w:r>
    </w:p>
    <w:p>
      <w:pPr>
        <w:pStyle w:val="62"/>
        <w:spacing w:before="156" w:after="156"/>
        <w:rPr>
          <w:color w:val="auto"/>
        </w:rPr>
      </w:pPr>
      <w:r>
        <w:rPr>
          <w:rFonts w:hint="eastAsia"/>
          <w:color w:val="auto"/>
        </w:rPr>
        <w:t>梅岭玉化学成分及其透闪石晶体化学式</w:t>
      </w:r>
    </w:p>
    <w:p>
      <w:pPr>
        <w:pStyle w:val="62"/>
        <w:numPr>
          <w:ilvl w:val="1"/>
          <w:numId w:val="0"/>
        </w:numPr>
        <w:spacing w:before="156" w:after="156"/>
        <w:jc w:val="right"/>
        <w:rPr>
          <w:color w:val="auto"/>
        </w:rPr>
      </w:pPr>
      <w:r>
        <w:rPr>
          <w:rFonts w:hint="eastAsia"/>
          <w:color w:val="auto"/>
        </w:rPr>
        <w:t>单位：ω(B)/10</w:t>
      </w:r>
      <w:r>
        <w:rPr>
          <w:rFonts w:hint="eastAsia"/>
          <w:color w:val="auto"/>
          <w:vertAlign w:val="superscript"/>
        </w:rPr>
        <w:t xml:space="preserve">-2 </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78"/>
        <w:gridCol w:w="778"/>
        <w:gridCol w:w="777"/>
        <w:gridCol w:w="777"/>
        <w:gridCol w:w="778"/>
        <w:gridCol w:w="778"/>
        <w:gridCol w:w="778"/>
        <w:gridCol w:w="778"/>
        <w:gridCol w:w="778"/>
        <w:gridCol w:w="778"/>
        <w:gridCol w:w="778"/>
        <w:gridCol w:w="7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78" w:type="dxa"/>
            <w:vMerge w:val="restart"/>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颜色</w:t>
            </w:r>
          </w:p>
        </w:tc>
        <w:tc>
          <w:tcPr>
            <w:tcW w:w="8556" w:type="dxa"/>
            <w:gridSpan w:val="11"/>
            <w:tcBorders>
              <w:top w:val="single" w:color="auto" w:sz="8" w:space="0"/>
              <w:bottom w:val="single" w:color="auto" w:sz="4" w:space="0"/>
            </w:tcBorders>
            <w:vAlign w:val="center"/>
          </w:tcPr>
          <w:p>
            <w:pPr>
              <w:spacing w:line="240" w:lineRule="auto"/>
              <w:jc w:val="center"/>
              <w:rPr>
                <w:rFonts w:ascii="宋体" w:hAnsi="宋体"/>
                <w:color w:val="auto"/>
                <w:kern w:val="0"/>
                <w:sz w:val="18"/>
                <w:szCs w:val="18"/>
              </w:rPr>
            </w:pPr>
            <w:r>
              <w:rPr>
                <w:rFonts w:hint="eastAsia" w:ascii="宋体" w:hAnsi="宋体"/>
                <w:color w:val="auto"/>
                <w:kern w:val="0"/>
                <w:sz w:val="18"/>
                <w:szCs w:val="18"/>
              </w:rPr>
              <w:t>化学成分</w:t>
            </w:r>
            <w:r>
              <w:rPr>
                <w:rFonts w:hint="eastAsia" w:ascii="宋体" w:hAnsi="宋体" w:eastAsia="宋体" w:cs="宋体"/>
                <w:color w:val="auto"/>
                <w:vertAlign w:val="superscript"/>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78" w:type="dxa"/>
            <w:vMerge w:val="continue"/>
            <w:tcBorders>
              <w:bottom w:val="single" w:color="auto" w:sz="8" w:space="0"/>
            </w:tcBorders>
            <w:vAlign w:val="center"/>
          </w:tcPr>
          <w:p>
            <w:pPr>
              <w:spacing w:line="240" w:lineRule="auto"/>
              <w:jc w:val="center"/>
              <w:rPr>
                <w:rFonts w:ascii="宋体" w:hAnsi="宋体"/>
                <w:color w:val="auto"/>
                <w:sz w:val="18"/>
                <w:szCs w:val="18"/>
              </w:rPr>
            </w:pP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SiO</w:t>
            </w:r>
            <w:r>
              <w:rPr>
                <w:rFonts w:hint="eastAsia" w:ascii="宋体" w:hAnsi="宋体"/>
                <w:color w:val="auto"/>
                <w:kern w:val="0"/>
                <w:sz w:val="18"/>
                <w:szCs w:val="18"/>
                <w:vertAlign w:val="subscript"/>
              </w:rPr>
              <w:t>2</w:t>
            </w:r>
          </w:p>
        </w:tc>
        <w:tc>
          <w:tcPr>
            <w:tcW w:w="777"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TiO</w:t>
            </w:r>
            <w:r>
              <w:rPr>
                <w:rFonts w:hint="eastAsia" w:ascii="宋体" w:hAnsi="宋体"/>
                <w:color w:val="auto"/>
                <w:kern w:val="0"/>
                <w:sz w:val="18"/>
                <w:szCs w:val="18"/>
                <w:vertAlign w:val="subscript"/>
              </w:rPr>
              <w:t>2</w:t>
            </w:r>
          </w:p>
        </w:tc>
        <w:tc>
          <w:tcPr>
            <w:tcW w:w="777"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Al</w:t>
            </w:r>
            <w:r>
              <w:rPr>
                <w:rFonts w:hint="eastAsia" w:ascii="宋体" w:hAnsi="宋体"/>
                <w:color w:val="auto"/>
                <w:kern w:val="0"/>
                <w:sz w:val="18"/>
                <w:szCs w:val="18"/>
                <w:vertAlign w:val="subscript"/>
              </w:rPr>
              <w:t>2</w:t>
            </w:r>
            <w:r>
              <w:rPr>
                <w:rFonts w:hint="eastAsia" w:ascii="宋体" w:hAnsi="宋体"/>
                <w:color w:val="auto"/>
                <w:kern w:val="0"/>
                <w:sz w:val="18"/>
                <w:szCs w:val="18"/>
              </w:rPr>
              <w:t>O</w:t>
            </w:r>
            <w:r>
              <w:rPr>
                <w:rFonts w:hint="eastAsia" w:ascii="宋体" w:hAnsi="宋体"/>
                <w:color w:val="auto"/>
                <w:kern w:val="0"/>
                <w:sz w:val="18"/>
                <w:szCs w:val="18"/>
                <w:vertAlign w:val="subscript"/>
              </w:rPr>
              <w:t>3</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Cr</w:t>
            </w:r>
            <w:r>
              <w:rPr>
                <w:rFonts w:hint="eastAsia" w:ascii="宋体" w:hAnsi="宋体"/>
                <w:color w:val="auto"/>
                <w:kern w:val="0"/>
                <w:sz w:val="18"/>
                <w:szCs w:val="18"/>
                <w:vertAlign w:val="subscript"/>
              </w:rPr>
              <w:t>2</w:t>
            </w:r>
            <w:r>
              <w:rPr>
                <w:rFonts w:hint="eastAsia" w:ascii="宋体" w:hAnsi="宋体"/>
                <w:color w:val="auto"/>
                <w:kern w:val="0"/>
                <w:sz w:val="18"/>
                <w:szCs w:val="18"/>
              </w:rPr>
              <w:t>O</w:t>
            </w:r>
            <w:r>
              <w:rPr>
                <w:rFonts w:hint="eastAsia" w:ascii="宋体" w:hAnsi="宋体"/>
                <w:color w:val="auto"/>
                <w:kern w:val="0"/>
                <w:sz w:val="18"/>
                <w:szCs w:val="18"/>
                <w:vertAlign w:val="subscript"/>
              </w:rPr>
              <w:t>3</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TFeO</w:t>
            </w:r>
            <w:r>
              <w:rPr>
                <w:rFonts w:hint="eastAsia" w:ascii="宋体" w:hAnsi="宋体"/>
                <w:color w:val="auto"/>
                <w:kern w:val="0"/>
                <w:sz w:val="18"/>
                <w:szCs w:val="18"/>
                <w:vertAlign w:val="superscript"/>
              </w:rPr>
              <w:t>b</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MnO</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MgO</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CaO</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K</w:t>
            </w:r>
            <w:r>
              <w:rPr>
                <w:rFonts w:hint="eastAsia" w:ascii="宋体" w:hAnsi="宋体"/>
                <w:color w:val="auto"/>
                <w:kern w:val="0"/>
                <w:sz w:val="18"/>
                <w:szCs w:val="18"/>
                <w:vertAlign w:val="subscript"/>
              </w:rPr>
              <w:t>2</w:t>
            </w:r>
            <w:r>
              <w:rPr>
                <w:rFonts w:hint="eastAsia" w:ascii="宋体" w:hAnsi="宋体"/>
                <w:color w:val="auto"/>
                <w:kern w:val="0"/>
                <w:sz w:val="18"/>
                <w:szCs w:val="18"/>
              </w:rPr>
              <w:t>O</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kern w:val="0"/>
                <w:sz w:val="18"/>
                <w:szCs w:val="18"/>
              </w:rPr>
              <w:t>Na</w:t>
            </w:r>
            <w:r>
              <w:rPr>
                <w:rFonts w:hint="eastAsia" w:ascii="宋体" w:hAnsi="宋体"/>
                <w:color w:val="auto"/>
                <w:kern w:val="0"/>
                <w:sz w:val="18"/>
                <w:szCs w:val="18"/>
                <w:vertAlign w:val="subscript"/>
              </w:rPr>
              <w:t>2</w:t>
            </w:r>
            <w:r>
              <w:rPr>
                <w:rFonts w:hint="eastAsia" w:ascii="宋体" w:hAnsi="宋体"/>
                <w:color w:val="auto"/>
                <w:kern w:val="0"/>
                <w:sz w:val="18"/>
                <w:szCs w:val="18"/>
              </w:rPr>
              <w:t>O</w:t>
            </w:r>
          </w:p>
        </w:tc>
        <w:tc>
          <w:tcPr>
            <w:tcW w:w="778" w:type="dxa"/>
            <w:tcBorders>
              <w:top w:val="single" w:color="auto" w:sz="4" w:space="0"/>
              <w:bottom w:val="single" w:color="auto" w:sz="8" w:space="0"/>
            </w:tcBorders>
            <w:vAlign w:val="center"/>
          </w:tcPr>
          <w:p>
            <w:pPr>
              <w:spacing w:line="240" w:lineRule="auto"/>
              <w:jc w:val="center"/>
              <w:rPr>
                <w:rFonts w:ascii="宋体" w:hAnsi="宋体"/>
                <w:color w:val="auto"/>
                <w:kern w:val="0"/>
                <w:sz w:val="18"/>
                <w:szCs w:val="18"/>
              </w:rPr>
            </w:pPr>
            <w:r>
              <w:rPr>
                <w:rFonts w:hint="eastAsia" w:ascii="宋体" w:hAnsi="宋体"/>
                <w:color w:val="auto"/>
                <w:kern w:val="0"/>
                <w:sz w:val="18"/>
                <w:szCs w:val="18"/>
              </w:rPr>
              <w:t>总量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restart"/>
            <w:tcBorders>
              <w:top w:val="single" w:color="auto" w:sz="8" w:space="0"/>
            </w:tcBorders>
            <w:vAlign w:val="center"/>
          </w:tcPr>
          <w:p>
            <w:pPr>
              <w:pStyle w:val="157"/>
              <w:rPr>
                <w:rFonts w:hAnsi="宋体"/>
                <w:color w:val="auto"/>
                <w:szCs w:val="18"/>
              </w:rPr>
            </w:pPr>
            <w:r>
              <w:rPr>
                <w:rFonts w:hint="eastAsia" w:hAnsi="宋体"/>
                <w:color w:val="auto"/>
                <w:szCs w:val="18"/>
              </w:rPr>
              <w:t>白色</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59.62</w:t>
            </w:r>
          </w:p>
        </w:tc>
        <w:tc>
          <w:tcPr>
            <w:tcW w:w="777"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0.03</w:t>
            </w:r>
          </w:p>
        </w:tc>
        <w:tc>
          <w:tcPr>
            <w:tcW w:w="777"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0.17</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0.11</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24.94</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12.44</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0.18</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0.53</w:t>
            </w:r>
          </w:p>
        </w:tc>
        <w:tc>
          <w:tcPr>
            <w:tcW w:w="778" w:type="dxa"/>
            <w:tcBorders>
              <w:top w:val="single" w:color="auto" w:sz="8" w:space="0"/>
            </w:tcBorders>
            <w:vAlign w:val="center"/>
          </w:tcPr>
          <w:p>
            <w:pPr>
              <w:spacing w:line="240" w:lineRule="auto"/>
              <w:jc w:val="center"/>
              <w:rPr>
                <w:rFonts w:ascii="宋体" w:hAnsi="宋体"/>
                <w:color w:val="auto"/>
                <w:sz w:val="18"/>
                <w:szCs w:val="18"/>
              </w:rPr>
            </w:pPr>
            <w:r>
              <w:rPr>
                <w:rFonts w:hint="eastAsia" w:ascii="宋体" w:hAnsi="宋体"/>
                <w:color w:val="auto"/>
                <w:sz w:val="18"/>
                <w:szCs w:val="18"/>
              </w:rPr>
              <w:t>98.02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58.88</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0.04</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0.73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0.08</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24.73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12.15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0.73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0.63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restart"/>
            <w:vAlign w:val="center"/>
          </w:tcPr>
          <w:p>
            <w:pPr>
              <w:pStyle w:val="157"/>
              <w:rPr>
                <w:rFonts w:hAnsi="宋体"/>
                <w:szCs w:val="18"/>
              </w:rPr>
            </w:pPr>
            <w:r>
              <w:rPr>
                <w:rFonts w:hint="eastAsia" w:hAnsi="宋体"/>
                <w:szCs w:val="18"/>
              </w:rPr>
              <w:t>青白色</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58.87</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0.01</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0.12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24.99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12.64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0.53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58.76</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0.34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23.63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12.60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0.71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0.34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96.56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59.04</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0.62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24.44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12.99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0.47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98.01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58.16</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0.01</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0.23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24.97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13.16</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59.17</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0.44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0.16</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24.39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12.91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0.24</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0.45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restart"/>
            <w:vAlign w:val="center"/>
          </w:tcPr>
          <w:p>
            <w:pPr>
              <w:pStyle w:val="157"/>
              <w:rPr>
                <w:rFonts w:hAnsi="宋体"/>
                <w:szCs w:val="18"/>
              </w:rPr>
            </w:pPr>
            <w:r>
              <w:rPr>
                <w:rFonts w:hint="eastAsia" w:hAnsi="宋体"/>
                <w:szCs w:val="18"/>
              </w:rPr>
              <w:t>青色</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59.36</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0.02</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0.46</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23.98</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12.80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0.57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97.71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59.06</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0.30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24.58</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13.09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0.43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vAlign w:val="center"/>
          </w:tcPr>
          <w:p>
            <w:pPr>
              <w:pStyle w:val="157"/>
              <w:rPr>
                <w:rFonts w:hAnsi="宋体"/>
                <w:szCs w:val="18"/>
              </w:rPr>
            </w:pP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59.13</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0.01</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0.30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0.20</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24.45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13.12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0.16</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0.28</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Align w:val="center"/>
          </w:tcPr>
          <w:p>
            <w:pPr>
              <w:pStyle w:val="157"/>
              <w:rPr>
                <w:rFonts w:hAnsi="宋体"/>
                <w:szCs w:val="18"/>
              </w:rPr>
            </w:pPr>
            <w:r>
              <w:rPr>
                <w:rFonts w:hint="eastAsia" w:hAnsi="宋体"/>
                <w:szCs w:val="18"/>
              </w:rPr>
              <w:t>平均值</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59.01</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0.02</w:t>
            </w:r>
          </w:p>
        </w:tc>
        <w:tc>
          <w:tcPr>
            <w:tcW w:w="777" w:type="dxa"/>
            <w:vAlign w:val="center"/>
          </w:tcPr>
          <w:p>
            <w:pPr>
              <w:spacing w:line="240" w:lineRule="auto"/>
              <w:jc w:val="center"/>
              <w:rPr>
                <w:rFonts w:ascii="宋体" w:hAnsi="宋体"/>
                <w:sz w:val="18"/>
                <w:szCs w:val="18"/>
              </w:rPr>
            </w:pPr>
            <w:r>
              <w:rPr>
                <w:rFonts w:hint="eastAsia" w:ascii="宋体" w:hAnsi="宋体"/>
                <w:sz w:val="18"/>
                <w:szCs w:val="18"/>
              </w:rPr>
              <w:t>0.37</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0.002</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0.15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0.03</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24.51</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12.79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0.29</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0.45</w:t>
            </w:r>
          </w:p>
        </w:tc>
        <w:tc>
          <w:tcPr>
            <w:tcW w:w="778" w:type="dxa"/>
            <w:vAlign w:val="center"/>
          </w:tcPr>
          <w:p>
            <w:pPr>
              <w:spacing w:line="240" w:lineRule="auto"/>
              <w:jc w:val="center"/>
              <w:rPr>
                <w:rFonts w:ascii="宋体" w:hAnsi="宋体"/>
                <w:sz w:val="18"/>
                <w:szCs w:val="18"/>
              </w:rPr>
            </w:pPr>
            <w:r>
              <w:rPr>
                <w:rFonts w:hint="eastAsia" w:ascii="宋体" w:hAnsi="宋体"/>
                <w:sz w:val="18"/>
                <w:szCs w:val="18"/>
              </w:rPr>
              <w:t>97.62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2"/>
            <w:vAlign w:val="center"/>
          </w:tcPr>
          <w:p>
            <w:pPr>
              <w:pStyle w:val="42"/>
              <w:ind w:firstLine="360"/>
              <w:rPr>
                <w:rFonts w:hAnsi="宋体"/>
                <w:sz w:val="18"/>
                <w:szCs w:val="18"/>
                <w:vertAlign w:val="superscript"/>
              </w:rPr>
            </w:pPr>
            <w:r>
              <w:rPr>
                <w:rFonts w:hint="eastAsia" w:hAnsi="宋体"/>
                <w:sz w:val="18"/>
                <w:szCs w:val="18"/>
              </w:rPr>
              <w:t>透闪石晶体化学式（以23个氧为基础）</w:t>
            </w:r>
            <w:r>
              <w:rPr>
                <w:rFonts w:hint="eastAsia" w:hAnsi="宋体"/>
                <w:sz w:val="18"/>
                <w:szCs w:val="18"/>
                <w:vertAlign w:val="superscript"/>
              </w:rPr>
              <w:t>c</w:t>
            </w:r>
          </w:p>
          <w:p>
            <w:pPr>
              <w:pStyle w:val="42"/>
              <w:ind w:firstLineChars="111"/>
              <w:rPr>
                <w:rFonts w:hAnsi="宋体"/>
                <w:sz w:val="18"/>
                <w:szCs w:val="18"/>
              </w:rPr>
            </w:pPr>
            <w:r>
              <w:rPr>
                <w:rFonts w:hint="eastAsia" w:hAnsi="宋体"/>
                <w:sz w:val="18"/>
                <w:szCs w:val="18"/>
              </w:rPr>
              <w:t xml:space="preserve"> (K</w:t>
            </w:r>
            <w:r>
              <w:rPr>
                <w:rFonts w:hint="eastAsia" w:hAnsi="宋体"/>
                <w:sz w:val="18"/>
                <w:szCs w:val="18"/>
                <w:vertAlign w:val="subscript"/>
              </w:rPr>
              <w:t xml:space="preserve">0.05 </w:t>
            </w:r>
            <w:r>
              <w:rPr>
                <w:rStyle w:val="231"/>
                <w:rFonts w:hint="default" w:ascii="宋体" w:eastAsia="宋体"/>
                <w:sz w:val="18"/>
                <w:szCs w:val="18"/>
              </w:rPr>
              <w:t>Na</w:t>
            </w:r>
            <w:r>
              <w:rPr>
                <w:rFonts w:hint="eastAsia" w:hAnsi="宋体"/>
                <w:sz w:val="18"/>
                <w:szCs w:val="18"/>
                <w:vertAlign w:val="subscript"/>
              </w:rPr>
              <w:t xml:space="preserve">0.003 </w:t>
            </w:r>
            <w:r>
              <w:rPr>
                <w:rStyle w:val="231"/>
                <w:rFonts w:hint="default" w:ascii="宋体" w:eastAsia="宋体"/>
                <w:sz w:val="18"/>
                <w:szCs w:val="18"/>
              </w:rPr>
              <w:t>)</w:t>
            </w:r>
            <w:r>
              <w:rPr>
                <w:rFonts w:hint="eastAsia" w:hAnsi="宋体"/>
                <w:sz w:val="18"/>
                <w:szCs w:val="18"/>
                <w:vertAlign w:val="subscript"/>
              </w:rPr>
              <w:t>0.053</w:t>
            </w:r>
            <w:r>
              <w:rPr>
                <w:rStyle w:val="231"/>
                <w:rFonts w:hint="default" w:ascii="宋体" w:eastAsia="宋体"/>
                <w:sz w:val="18"/>
                <w:szCs w:val="18"/>
              </w:rPr>
              <w:t>(Ca</w:t>
            </w:r>
            <w:r>
              <w:rPr>
                <w:rFonts w:hint="eastAsia" w:hAnsi="宋体"/>
                <w:sz w:val="18"/>
                <w:szCs w:val="18"/>
                <w:vertAlign w:val="subscript"/>
              </w:rPr>
              <w:t xml:space="preserve">1.857 </w:t>
            </w:r>
            <w:r>
              <w:rPr>
                <w:rStyle w:val="231"/>
                <w:rFonts w:hint="default" w:ascii="宋体" w:eastAsia="宋体"/>
                <w:sz w:val="18"/>
                <w:szCs w:val="18"/>
              </w:rPr>
              <w:t>Mn</w:t>
            </w:r>
            <w:r>
              <w:rPr>
                <w:rFonts w:hint="eastAsia" w:hAnsi="宋体"/>
                <w:sz w:val="18"/>
                <w:szCs w:val="18"/>
                <w:vertAlign w:val="subscript"/>
              </w:rPr>
              <w:t xml:space="preserve">0.003 </w:t>
            </w:r>
            <w:r>
              <w:rPr>
                <w:rFonts w:hint="eastAsia" w:hAnsi="宋体"/>
                <w:sz w:val="18"/>
                <w:szCs w:val="18"/>
              </w:rPr>
              <w:t>Fe</w:t>
            </w:r>
            <w:r>
              <w:rPr>
                <w:rFonts w:hint="eastAsia" w:hAnsi="宋体"/>
                <w:sz w:val="18"/>
                <w:szCs w:val="18"/>
                <w:vertAlign w:val="superscript"/>
              </w:rPr>
              <w:t>2+</w:t>
            </w:r>
            <w:r>
              <w:rPr>
                <w:rFonts w:hint="eastAsia" w:hAnsi="宋体"/>
                <w:sz w:val="18"/>
                <w:szCs w:val="18"/>
                <w:vertAlign w:val="subscript"/>
              </w:rPr>
              <w:t xml:space="preserve">0.009 </w:t>
            </w:r>
            <w:r>
              <w:rPr>
                <w:rStyle w:val="231"/>
                <w:rFonts w:hint="default" w:ascii="宋体" w:eastAsia="宋体"/>
                <w:sz w:val="18"/>
                <w:szCs w:val="18"/>
              </w:rPr>
              <w:t>Mg</w:t>
            </w:r>
            <w:r>
              <w:rPr>
                <w:rFonts w:hint="eastAsia" w:hAnsi="宋体"/>
                <w:sz w:val="18"/>
                <w:szCs w:val="18"/>
                <w:vertAlign w:val="subscript"/>
              </w:rPr>
              <w:t xml:space="preserve">0.016 </w:t>
            </w:r>
            <w:r>
              <w:rPr>
                <w:rStyle w:val="231"/>
                <w:rFonts w:hint="default" w:ascii="宋体" w:eastAsia="宋体"/>
                <w:sz w:val="18"/>
                <w:szCs w:val="18"/>
              </w:rPr>
              <w:t>Na</w:t>
            </w:r>
            <w:r>
              <w:rPr>
                <w:rFonts w:hint="eastAsia" w:hAnsi="宋体"/>
                <w:sz w:val="18"/>
                <w:szCs w:val="18"/>
                <w:vertAlign w:val="subscript"/>
              </w:rPr>
              <w:t xml:space="preserve">0.115 </w:t>
            </w:r>
            <w:r>
              <w:rPr>
                <w:rStyle w:val="231"/>
                <w:rFonts w:hint="default" w:ascii="宋体" w:eastAsia="宋体"/>
                <w:sz w:val="18"/>
                <w:szCs w:val="18"/>
              </w:rPr>
              <w:t>)</w:t>
            </w:r>
            <w:r>
              <w:rPr>
                <w:rFonts w:hint="eastAsia" w:hAnsi="宋体"/>
                <w:sz w:val="18"/>
                <w:szCs w:val="18"/>
                <w:vertAlign w:val="subscript"/>
              </w:rPr>
              <w:t>2</w:t>
            </w:r>
            <w:r>
              <w:rPr>
                <w:rStyle w:val="231"/>
                <w:rFonts w:hint="default" w:ascii="宋体" w:eastAsia="宋体"/>
                <w:sz w:val="18"/>
                <w:szCs w:val="18"/>
              </w:rPr>
              <w:t>(Mg</w:t>
            </w:r>
            <w:r>
              <w:rPr>
                <w:rFonts w:hint="eastAsia" w:hAnsi="宋体"/>
                <w:sz w:val="18"/>
                <w:szCs w:val="18"/>
                <w:vertAlign w:val="subscript"/>
              </w:rPr>
              <w:t>4.953</w:t>
            </w:r>
            <w:r>
              <w:rPr>
                <w:rStyle w:val="231"/>
                <w:rFonts w:hint="default" w:ascii="宋体" w:eastAsia="宋体"/>
                <w:sz w:val="18"/>
                <w:szCs w:val="18"/>
              </w:rPr>
              <w:t>Ti</w:t>
            </w:r>
            <w:r>
              <w:rPr>
                <w:rFonts w:hint="eastAsia" w:hAnsi="宋体"/>
                <w:sz w:val="18"/>
                <w:szCs w:val="18"/>
                <w:vertAlign w:val="subscript"/>
              </w:rPr>
              <w:t xml:space="preserve">0.002 </w:t>
            </w:r>
            <w:r>
              <w:rPr>
                <w:rFonts w:hint="eastAsia" w:hAnsi="宋体"/>
                <w:sz w:val="18"/>
                <w:szCs w:val="18"/>
              </w:rPr>
              <w:t>Fe</w:t>
            </w:r>
            <w:r>
              <w:rPr>
                <w:rFonts w:hint="eastAsia" w:hAnsi="宋体"/>
                <w:sz w:val="18"/>
                <w:szCs w:val="18"/>
                <w:vertAlign w:val="superscript"/>
              </w:rPr>
              <w:t>3+</w:t>
            </w:r>
            <w:r>
              <w:rPr>
                <w:rFonts w:hint="eastAsia" w:hAnsi="宋体"/>
                <w:sz w:val="18"/>
                <w:szCs w:val="18"/>
                <w:vertAlign w:val="subscript"/>
              </w:rPr>
              <w:t xml:space="preserve">0.008 </w:t>
            </w:r>
            <w:r>
              <w:rPr>
                <w:rStyle w:val="231"/>
                <w:rFonts w:hint="default" w:ascii="宋体" w:eastAsia="宋体"/>
                <w:sz w:val="18"/>
                <w:szCs w:val="18"/>
              </w:rPr>
              <w:t>Al</w:t>
            </w:r>
            <w:r>
              <w:rPr>
                <w:rStyle w:val="231"/>
                <w:rFonts w:hint="default" w:ascii="宋体" w:eastAsia="宋体"/>
                <w:sz w:val="18"/>
                <w:szCs w:val="18"/>
                <w:vertAlign w:val="superscript"/>
              </w:rPr>
              <w:t>VI</w:t>
            </w:r>
            <w:r>
              <w:rPr>
                <w:rFonts w:hint="eastAsia" w:hAnsi="宋体"/>
                <w:sz w:val="18"/>
                <w:szCs w:val="18"/>
                <w:vertAlign w:val="subscript"/>
              </w:rPr>
              <w:t xml:space="preserve">0.055 </w:t>
            </w:r>
            <w:r>
              <w:rPr>
                <w:rStyle w:val="231"/>
                <w:rFonts w:hint="default" w:ascii="宋体" w:eastAsia="宋体"/>
                <w:sz w:val="18"/>
                <w:szCs w:val="18"/>
              </w:rPr>
              <w:t>)</w:t>
            </w:r>
            <w:r>
              <w:rPr>
                <w:rFonts w:hint="eastAsia" w:hAnsi="宋体"/>
                <w:sz w:val="18"/>
                <w:szCs w:val="18"/>
                <w:vertAlign w:val="subscript"/>
              </w:rPr>
              <w:t>5</w:t>
            </w:r>
            <w:r>
              <w:rPr>
                <w:rStyle w:val="231"/>
                <w:rFonts w:hint="default" w:ascii="宋体" w:eastAsia="宋体"/>
                <w:sz w:val="18"/>
                <w:szCs w:val="18"/>
              </w:rPr>
              <w:t>[(Si</w:t>
            </w:r>
            <w:r>
              <w:rPr>
                <w:rFonts w:hint="eastAsia" w:hAnsi="宋体"/>
                <w:sz w:val="18"/>
                <w:szCs w:val="18"/>
                <w:vertAlign w:val="subscript"/>
              </w:rPr>
              <w:t xml:space="preserve">7.996 </w:t>
            </w:r>
            <w:r>
              <w:rPr>
                <w:rStyle w:val="231"/>
                <w:rFonts w:hint="default" w:ascii="宋体" w:eastAsia="宋体"/>
                <w:sz w:val="18"/>
                <w:szCs w:val="18"/>
              </w:rPr>
              <w:t>Al</w:t>
            </w:r>
            <w:r>
              <w:rPr>
                <w:rStyle w:val="231"/>
                <w:rFonts w:hint="default" w:ascii="宋体" w:eastAsia="宋体"/>
                <w:sz w:val="18"/>
                <w:szCs w:val="18"/>
                <w:vertAlign w:val="superscript"/>
              </w:rPr>
              <w:t>IV</w:t>
            </w:r>
            <w:r>
              <w:rPr>
                <w:rFonts w:hint="eastAsia" w:hAnsi="宋体"/>
                <w:sz w:val="18"/>
                <w:szCs w:val="18"/>
                <w:vertAlign w:val="subscript"/>
              </w:rPr>
              <w:t xml:space="preserve">0.004 </w:t>
            </w:r>
            <w:r>
              <w:rPr>
                <w:rStyle w:val="231"/>
                <w:rFonts w:hint="default" w:ascii="宋体" w:eastAsia="宋体"/>
                <w:sz w:val="18"/>
                <w:szCs w:val="18"/>
              </w:rPr>
              <w:t>)</w:t>
            </w:r>
            <w:r>
              <w:rPr>
                <w:rFonts w:hint="eastAsia" w:hAnsi="宋体"/>
                <w:sz w:val="18"/>
                <w:szCs w:val="18"/>
                <w:vertAlign w:val="subscript"/>
              </w:rPr>
              <w:t>8</w:t>
            </w:r>
            <w:r>
              <w:rPr>
                <w:rStyle w:val="231"/>
                <w:rFonts w:hint="default" w:ascii="宋体" w:eastAsia="宋体"/>
                <w:sz w:val="18"/>
                <w:szCs w:val="18"/>
              </w:rPr>
              <w:t>O</w:t>
            </w:r>
            <w:r>
              <w:rPr>
                <w:rFonts w:hint="eastAsia" w:hAnsi="宋体"/>
                <w:sz w:val="18"/>
                <w:szCs w:val="18"/>
                <w:vertAlign w:val="subscript"/>
              </w:rPr>
              <w:t>22</w:t>
            </w:r>
            <w:r>
              <w:rPr>
                <w:rStyle w:val="231"/>
                <w:rFonts w:hint="default" w:ascii="宋体" w:eastAsia="宋体"/>
                <w:sz w:val="18"/>
                <w:szCs w:val="18"/>
              </w:rPr>
              <w:t>](OH)</w:t>
            </w:r>
            <w:r>
              <w:rPr>
                <w:rFonts w:hint="eastAsia" w:hAnsi="宋体"/>
                <w:sz w:val="18"/>
                <w:szCs w:val="18"/>
                <w:vertAlign w:val="sub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2"/>
            <w:tcBorders>
              <w:bottom w:val="single" w:color="auto" w:sz="8" w:space="0"/>
            </w:tcBorders>
            <w:vAlign w:val="center"/>
          </w:tcPr>
          <w:p>
            <w:pPr>
              <w:pStyle w:val="42"/>
              <w:ind w:firstLine="360"/>
              <w:rPr>
                <w:rFonts w:hAnsi="宋体"/>
                <w:sz w:val="18"/>
                <w:szCs w:val="18"/>
              </w:rPr>
            </w:pPr>
            <w:r>
              <w:rPr>
                <w:rFonts w:hAnsi="宋体"/>
                <w:sz w:val="18"/>
                <w:szCs w:val="18"/>
                <w:vertAlign w:val="superscript"/>
              </w:rPr>
              <w:t>a</w:t>
            </w:r>
            <w:r>
              <w:rPr>
                <w:rFonts w:hint="eastAsia" w:hAnsi="宋体"/>
                <w:sz w:val="18"/>
                <w:szCs w:val="18"/>
              </w:rPr>
              <w:t>电子探针分析</w:t>
            </w:r>
            <w:r>
              <w:rPr>
                <w:rFonts w:hint="eastAsia" w:hAnsi="宋体"/>
                <w:color w:val="auto"/>
                <w:sz w:val="18"/>
                <w:szCs w:val="18"/>
              </w:rPr>
              <w:t>结果，崔文元等，2002；</w:t>
            </w:r>
            <w:r>
              <w:rPr>
                <w:rFonts w:hAnsi="宋体"/>
                <w:color w:val="auto"/>
                <w:sz w:val="18"/>
                <w:szCs w:val="18"/>
                <w:vertAlign w:val="superscript"/>
              </w:rPr>
              <w:t>b</w:t>
            </w:r>
            <w:r>
              <w:rPr>
                <w:rFonts w:hint="eastAsia" w:hAnsi="宋体"/>
                <w:color w:val="auto"/>
                <w:sz w:val="18"/>
                <w:szCs w:val="18"/>
              </w:rPr>
              <w:t>全</w:t>
            </w:r>
            <w:r>
              <w:rPr>
                <w:rFonts w:hint="eastAsia" w:hAnsi="宋体" w:cs="Calibri"/>
                <w:color w:val="auto"/>
                <w:sz w:val="18"/>
                <w:szCs w:val="18"/>
              </w:rPr>
              <w:t>Fe</w:t>
            </w:r>
            <w:r>
              <w:rPr>
                <w:rFonts w:hint="eastAsia" w:hAnsi="宋体"/>
                <w:color w:val="auto"/>
                <w:sz w:val="18"/>
                <w:szCs w:val="18"/>
              </w:rPr>
              <w:t>以</w:t>
            </w:r>
            <w:r>
              <w:rPr>
                <w:rFonts w:hint="eastAsia" w:hAnsi="宋体" w:cs="Calibri"/>
                <w:color w:val="auto"/>
                <w:sz w:val="18"/>
                <w:szCs w:val="18"/>
              </w:rPr>
              <w:t>F</w:t>
            </w:r>
            <w:r>
              <w:rPr>
                <w:rFonts w:hint="eastAsia" w:hAnsi="宋体" w:cs="Calibri"/>
                <w:sz w:val="18"/>
                <w:szCs w:val="18"/>
              </w:rPr>
              <w:t>eO</w:t>
            </w:r>
            <w:r>
              <w:rPr>
                <w:rFonts w:hint="eastAsia" w:hAnsi="宋体"/>
                <w:sz w:val="18"/>
                <w:szCs w:val="18"/>
              </w:rPr>
              <w:t>表示；</w:t>
            </w:r>
            <w:r>
              <w:rPr>
                <w:rFonts w:hAnsi="宋体"/>
                <w:sz w:val="18"/>
                <w:szCs w:val="18"/>
                <w:vertAlign w:val="superscript"/>
              </w:rPr>
              <w:t>c</w:t>
            </w:r>
            <w:r>
              <w:rPr>
                <w:rFonts w:hint="eastAsia" w:hAnsi="宋体"/>
                <w:sz w:val="18"/>
                <w:szCs w:val="18"/>
              </w:rPr>
              <w:t>以化学成分平均值计算。</w:t>
            </w:r>
          </w:p>
        </w:tc>
      </w:tr>
    </w:tbl>
    <w:p>
      <w:pPr>
        <w:pStyle w:val="42"/>
        <w:ind w:firstLine="420"/>
      </w:pPr>
    </w:p>
    <w:p>
      <w:pPr>
        <w:pStyle w:val="42"/>
        <w:ind w:firstLine="420"/>
      </w:pPr>
    </w:p>
    <w:p>
      <w:pPr>
        <w:pStyle w:val="42"/>
        <w:ind w:firstLine="420"/>
      </w:pPr>
    </w:p>
    <w:p>
      <w:pPr>
        <w:pStyle w:val="42"/>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720" w:num="1"/>
          <w:formProt w:val="0"/>
          <w:docGrid w:type="lines" w:linePitch="312" w:charSpace="0"/>
        </w:sectPr>
      </w:pPr>
    </w:p>
    <w:p>
      <w:pPr>
        <w:pStyle w:val="174"/>
      </w:pPr>
    </w:p>
    <w:p>
      <w:pPr>
        <w:pStyle w:val="175"/>
      </w:pPr>
    </w:p>
    <w:p>
      <w:pPr>
        <w:pStyle w:val="61"/>
        <w:spacing w:after="156"/>
      </w:pPr>
      <w:r>
        <w:br w:type="textWrapping"/>
      </w:r>
      <w:bookmarkStart w:id="82" w:name="_Toc137645734"/>
      <w:bookmarkStart w:id="83" w:name="_Toc137645747"/>
      <w:r>
        <w:rPr>
          <w:rFonts w:hint="eastAsia"/>
        </w:rPr>
        <w:t>（资料性）</w:t>
      </w:r>
      <w:r>
        <w:br w:type="textWrapping"/>
      </w:r>
      <w:r>
        <w:rPr>
          <w:rFonts w:hint="eastAsia"/>
        </w:rPr>
        <w:t>梅岭玉红外吸收光谱</w:t>
      </w:r>
      <w:bookmarkEnd w:id="82"/>
      <w:bookmarkEnd w:id="83"/>
    </w:p>
    <w:p>
      <w:pPr>
        <w:pStyle w:val="42"/>
        <w:ind w:firstLine="420"/>
        <w:rPr>
          <w:kern w:val="2"/>
          <w:szCs w:val="21"/>
        </w:rPr>
      </w:pPr>
      <w:r>
        <w:rPr>
          <w:rFonts w:hint="eastAsia"/>
        </w:rPr>
        <w:t>梅岭玉的红外吸收光谱图谱（</w:t>
      </w:r>
      <w:r>
        <w:rPr>
          <w:rFonts w:hint="eastAsia" w:cs="Calibri"/>
        </w:rPr>
        <w:t>KBr</w:t>
      </w:r>
      <w:r>
        <w:rPr>
          <w:rFonts w:hint="eastAsia"/>
        </w:rPr>
        <w:t>压片法）见图</w:t>
      </w:r>
      <w:r>
        <w:rPr>
          <w:rFonts w:hint="eastAsia" w:cs="Calibri"/>
        </w:rPr>
        <w:t>B.1</w:t>
      </w:r>
      <w:r>
        <w:rPr>
          <w:rFonts w:hint="eastAsia"/>
        </w:rPr>
        <w:t>，红外吸收峰及其归属见表</w:t>
      </w:r>
      <w:r>
        <w:rPr>
          <w:rFonts w:hint="eastAsia" w:cs="Calibri"/>
        </w:rPr>
        <w:t>B.1</w:t>
      </w:r>
      <w:r>
        <w:rPr>
          <w:rFonts w:hint="eastAsia"/>
        </w:rPr>
        <w:t>。</w:t>
      </w:r>
    </w:p>
    <w:p>
      <w:pPr>
        <w:pStyle w:val="42"/>
        <w:ind w:firstLine="0" w:firstLineChars="0"/>
      </w:pPr>
      <w:r>
        <w:drawing>
          <wp:inline distT="0" distB="0" distL="114300" distR="114300">
            <wp:extent cx="5476875" cy="4011295"/>
            <wp:effectExtent l="0" t="0" r="9525" b="1905"/>
            <wp:docPr id="4" name="图片 4" descr="红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红外"/>
                    <pic:cNvPicPr>
                      <a:picLocks noChangeAspect="1"/>
                    </pic:cNvPicPr>
                  </pic:nvPicPr>
                  <pic:blipFill>
                    <a:blip r:embed="rId35"/>
                    <a:srcRect l="9103" t="2296" r="1786" b="4331"/>
                    <a:stretch>
                      <a:fillRect/>
                    </a:stretch>
                  </pic:blipFill>
                  <pic:spPr>
                    <a:xfrm>
                      <a:off x="0" y="0"/>
                      <a:ext cx="5476875" cy="4011295"/>
                    </a:xfrm>
                    <a:prstGeom prst="rect">
                      <a:avLst/>
                    </a:prstGeom>
                  </pic:spPr>
                </pic:pic>
              </a:graphicData>
            </a:graphic>
          </wp:inline>
        </w:drawing>
      </w:r>
    </w:p>
    <w:p>
      <w:pPr>
        <w:pStyle w:val="68"/>
        <w:spacing w:before="156" w:after="156"/>
      </w:pPr>
      <w:r>
        <w:rPr>
          <w:rFonts w:hint="eastAsia"/>
        </w:rPr>
        <w:t>梅岭玉红外吸收光谱图谱（KBr压片法）</w:t>
      </w:r>
    </w:p>
    <w:p>
      <w:pPr>
        <w:pStyle w:val="62"/>
        <w:spacing w:before="156" w:after="156"/>
      </w:pPr>
      <w:r>
        <w:rPr>
          <w:rFonts w:hint="eastAsia"/>
        </w:rPr>
        <w:t>红外吸收峰及其归属</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峰 位（cm</w:t>
            </w:r>
            <w:r>
              <w:rPr>
                <w:rFonts w:hint="eastAsia" w:ascii="宋体" w:hAnsi="宋体"/>
                <w:sz w:val="18"/>
                <w:szCs w:val="18"/>
                <w:vertAlign w:val="superscript"/>
              </w:rPr>
              <w:t>-1</w:t>
            </w:r>
            <w:r>
              <w:rPr>
                <w:rFonts w:hint="eastAsia" w:ascii="宋体" w:hAnsi="宋体"/>
                <w:sz w:val="18"/>
                <w:szCs w:val="18"/>
              </w:rPr>
              <w:t>）</w:t>
            </w:r>
          </w:p>
        </w:tc>
        <w:tc>
          <w:tcPr>
            <w:tcW w:w="4667"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归 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pPr>
              <w:spacing w:line="240" w:lineRule="auto"/>
              <w:rPr>
                <w:rFonts w:ascii="宋体" w:hAnsi="宋体"/>
                <w:sz w:val="18"/>
                <w:szCs w:val="18"/>
              </w:rPr>
            </w:pPr>
            <w:r>
              <w:rPr>
                <w:rFonts w:hint="eastAsia" w:ascii="宋体" w:hAnsi="宋体"/>
                <w:sz w:val="18"/>
                <w:szCs w:val="18"/>
              </w:rPr>
              <w:t>403、420、463</w:t>
            </w:r>
          </w:p>
        </w:tc>
        <w:tc>
          <w:tcPr>
            <w:tcW w:w="4667" w:type="dxa"/>
            <w:tcBorders>
              <w:top w:val="single" w:color="auto" w:sz="8" w:space="0"/>
            </w:tcBorders>
            <w:vAlign w:val="center"/>
          </w:tcPr>
          <w:p>
            <w:pPr>
              <w:widowControl/>
              <w:spacing w:line="240" w:lineRule="auto"/>
              <w:rPr>
                <w:rFonts w:ascii="宋体" w:hAnsi="宋体"/>
                <w:sz w:val="18"/>
                <w:szCs w:val="18"/>
              </w:rPr>
            </w:pPr>
            <w:r>
              <w:rPr>
                <w:rFonts w:hint="eastAsia" w:ascii="宋体" w:hAnsi="宋体"/>
                <w:bCs/>
                <w:color w:val="000000"/>
                <w:kern w:val="0"/>
                <w:sz w:val="18"/>
                <w:szCs w:val="18"/>
              </w:rPr>
              <w:t>晶格振动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509、530、547</w:t>
            </w:r>
          </w:p>
        </w:tc>
        <w:tc>
          <w:tcPr>
            <w:tcW w:w="4667" w:type="dxa"/>
            <w:vAlign w:val="center"/>
          </w:tcPr>
          <w:p>
            <w:pPr>
              <w:spacing w:line="240" w:lineRule="auto"/>
              <w:rPr>
                <w:rFonts w:ascii="宋体" w:hAnsi="宋体"/>
                <w:sz w:val="18"/>
                <w:szCs w:val="18"/>
              </w:rPr>
            </w:pPr>
            <w:r>
              <w:rPr>
                <w:rFonts w:hint="eastAsia" w:ascii="宋体" w:hAnsi="宋体"/>
                <w:bCs/>
                <w:color w:val="000000"/>
                <w:kern w:val="0"/>
                <w:sz w:val="18"/>
                <w:szCs w:val="18"/>
              </w:rPr>
              <w:t>Si-O弯曲振动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645、664、686、728、757</w:t>
            </w:r>
          </w:p>
        </w:tc>
        <w:tc>
          <w:tcPr>
            <w:tcW w:w="4667" w:type="dxa"/>
            <w:vAlign w:val="center"/>
          </w:tcPr>
          <w:p>
            <w:pPr>
              <w:spacing w:line="240" w:lineRule="auto"/>
              <w:rPr>
                <w:rFonts w:ascii="宋体" w:hAnsi="宋体"/>
                <w:sz w:val="18"/>
                <w:szCs w:val="18"/>
              </w:rPr>
            </w:pPr>
            <w:r>
              <w:rPr>
                <w:rFonts w:hint="eastAsia" w:ascii="宋体" w:hAnsi="宋体"/>
                <w:bCs/>
                <w:color w:val="000000"/>
                <w:kern w:val="0"/>
                <w:sz w:val="18"/>
                <w:szCs w:val="18"/>
              </w:rPr>
              <w:t>Si-O</w:t>
            </w:r>
            <w:r>
              <w:rPr>
                <w:rFonts w:hint="eastAsia" w:ascii="宋体" w:hAnsi="宋体"/>
                <w:bCs/>
                <w:color w:val="000000"/>
                <w:kern w:val="0"/>
                <w:sz w:val="18"/>
                <w:szCs w:val="18"/>
                <w:vertAlign w:val="subscript"/>
              </w:rPr>
              <w:t>b</w:t>
            </w:r>
            <w:r>
              <w:rPr>
                <w:rFonts w:hint="eastAsia" w:ascii="宋体" w:hAnsi="宋体"/>
                <w:bCs/>
                <w:color w:val="000000"/>
                <w:kern w:val="0"/>
                <w:sz w:val="18"/>
                <w:szCs w:val="18"/>
              </w:rPr>
              <w:t>-Si对称伸缩振动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921、952、1000</w:t>
            </w:r>
          </w:p>
        </w:tc>
        <w:tc>
          <w:tcPr>
            <w:tcW w:w="4667" w:type="dxa"/>
            <w:vAlign w:val="center"/>
          </w:tcPr>
          <w:p>
            <w:pPr>
              <w:widowControl/>
              <w:spacing w:line="240" w:lineRule="auto"/>
              <w:rPr>
                <w:rFonts w:ascii="宋体" w:hAnsi="宋体"/>
                <w:bCs/>
                <w:sz w:val="18"/>
                <w:szCs w:val="18"/>
              </w:rPr>
            </w:pPr>
            <w:r>
              <w:rPr>
                <w:rFonts w:hint="eastAsia" w:ascii="宋体" w:hAnsi="宋体"/>
                <w:bCs/>
                <w:color w:val="000000"/>
                <w:kern w:val="0"/>
                <w:sz w:val="18"/>
                <w:szCs w:val="18"/>
              </w:rPr>
              <w:t>O-Si-O对称伸缩振动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FF0000"/>
                <w:sz w:val="18"/>
                <w:szCs w:val="18"/>
              </w:rPr>
            </w:pPr>
            <w:r>
              <w:rPr>
                <w:rFonts w:hint="eastAsia" w:ascii="宋体" w:hAnsi="宋体"/>
                <w:sz w:val="18"/>
                <w:szCs w:val="18"/>
              </w:rPr>
              <w:t>1019、1039</w:t>
            </w:r>
          </w:p>
        </w:tc>
        <w:tc>
          <w:tcPr>
            <w:tcW w:w="4667" w:type="dxa"/>
            <w:vAlign w:val="center"/>
          </w:tcPr>
          <w:p>
            <w:pPr>
              <w:spacing w:line="240" w:lineRule="auto"/>
              <w:rPr>
                <w:rFonts w:ascii="宋体" w:hAnsi="宋体"/>
                <w:bCs/>
                <w:color w:val="000000"/>
                <w:kern w:val="0"/>
                <w:sz w:val="18"/>
                <w:szCs w:val="18"/>
              </w:rPr>
            </w:pPr>
            <w:r>
              <w:rPr>
                <w:rFonts w:hint="eastAsia" w:ascii="宋体" w:hAnsi="宋体"/>
                <w:bCs/>
                <w:color w:val="000000"/>
                <w:kern w:val="0"/>
                <w:sz w:val="18"/>
                <w:szCs w:val="18"/>
              </w:rPr>
              <w:t>O-Si-O反对称伸缩振动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FF0000"/>
                <w:sz w:val="18"/>
                <w:szCs w:val="18"/>
              </w:rPr>
            </w:pPr>
            <w:r>
              <w:rPr>
                <w:rFonts w:hint="eastAsia" w:ascii="宋体" w:hAnsi="宋体"/>
                <w:sz w:val="18"/>
                <w:szCs w:val="18"/>
              </w:rPr>
              <w:t>1065、1105</w:t>
            </w:r>
          </w:p>
        </w:tc>
        <w:tc>
          <w:tcPr>
            <w:tcW w:w="4667" w:type="dxa"/>
            <w:vAlign w:val="center"/>
          </w:tcPr>
          <w:p>
            <w:pPr>
              <w:widowControl/>
              <w:spacing w:line="240" w:lineRule="auto"/>
              <w:jc w:val="left"/>
              <w:rPr>
                <w:rFonts w:ascii="宋体" w:hAnsi="宋体"/>
                <w:bCs/>
                <w:color w:val="000000"/>
                <w:kern w:val="0"/>
                <w:sz w:val="18"/>
                <w:szCs w:val="18"/>
              </w:rPr>
            </w:pPr>
            <w:r>
              <w:rPr>
                <w:rFonts w:hint="eastAsia" w:ascii="宋体" w:hAnsi="宋体"/>
                <w:bCs/>
                <w:color w:val="000000"/>
                <w:kern w:val="0"/>
                <w:sz w:val="18"/>
                <w:szCs w:val="18"/>
              </w:rPr>
              <w:t>Si-O</w:t>
            </w:r>
            <w:r>
              <w:rPr>
                <w:rFonts w:hint="eastAsia" w:ascii="宋体" w:hAnsi="宋体"/>
                <w:bCs/>
                <w:color w:val="000000"/>
                <w:kern w:val="0"/>
                <w:sz w:val="18"/>
                <w:szCs w:val="18"/>
                <w:vertAlign w:val="subscript"/>
              </w:rPr>
              <w:t>b</w:t>
            </w:r>
            <w:r>
              <w:rPr>
                <w:rFonts w:hint="eastAsia" w:ascii="宋体" w:hAnsi="宋体"/>
                <w:bCs/>
                <w:color w:val="000000"/>
                <w:kern w:val="0"/>
                <w:sz w:val="18"/>
                <w:szCs w:val="18"/>
              </w:rPr>
              <w:t>-Si反对称伸缩振动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FF0000"/>
                <w:sz w:val="18"/>
                <w:szCs w:val="18"/>
              </w:rPr>
            </w:pPr>
            <w:r>
              <w:rPr>
                <w:rFonts w:hint="eastAsia" w:ascii="宋体" w:hAnsi="宋体"/>
                <w:sz w:val="18"/>
                <w:szCs w:val="18"/>
              </w:rPr>
              <w:t>3673</w:t>
            </w:r>
          </w:p>
        </w:tc>
        <w:tc>
          <w:tcPr>
            <w:tcW w:w="4667" w:type="dxa"/>
            <w:vAlign w:val="center"/>
          </w:tcPr>
          <w:p>
            <w:pPr>
              <w:spacing w:line="240" w:lineRule="auto"/>
              <w:rPr>
                <w:rFonts w:ascii="宋体" w:hAnsi="宋体"/>
                <w:bCs/>
                <w:color w:val="000000"/>
                <w:kern w:val="0"/>
                <w:sz w:val="18"/>
                <w:szCs w:val="18"/>
              </w:rPr>
            </w:pPr>
            <w:r>
              <w:rPr>
                <w:rFonts w:hint="eastAsia" w:ascii="宋体" w:hAnsi="宋体"/>
                <w:bCs/>
                <w:color w:val="000000"/>
                <w:kern w:val="0"/>
                <w:sz w:val="18"/>
                <w:szCs w:val="18"/>
              </w:rPr>
              <w:t>OH伸缩振动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bottom w:val="single" w:color="auto" w:sz="8" w:space="0"/>
            </w:tcBorders>
            <w:vAlign w:val="center"/>
          </w:tcPr>
          <w:p>
            <w:pPr>
              <w:spacing w:line="240" w:lineRule="auto"/>
              <w:rPr>
                <w:rFonts w:ascii="宋体" w:hAnsi="宋体"/>
                <w:sz w:val="18"/>
              </w:rPr>
            </w:pPr>
            <w:r>
              <w:rPr>
                <w:rFonts w:hint="eastAsia" w:ascii="宋体" w:hAnsi="宋体"/>
                <w:sz w:val="18"/>
              </w:rPr>
              <w:t>注：O</w:t>
            </w:r>
            <w:r>
              <w:rPr>
                <w:rFonts w:hint="eastAsia" w:ascii="宋体" w:hAnsi="宋体"/>
                <w:sz w:val="18"/>
                <w:vertAlign w:val="subscript"/>
              </w:rPr>
              <w:t>b</w:t>
            </w:r>
            <w:r>
              <w:rPr>
                <w:rFonts w:hint="eastAsia" w:ascii="宋体" w:hAnsi="宋体"/>
                <w:bCs/>
                <w:color w:val="000000"/>
                <w:kern w:val="0"/>
                <w:sz w:val="18"/>
                <w:szCs w:val="18"/>
              </w:rPr>
              <w:t>—</w:t>
            </w:r>
            <w:r>
              <w:rPr>
                <w:rFonts w:hint="eastAsia" w:ascii="宋体" w:hAnsi="宋体"/>
                <w:sz w:val="18"/>
              </w:rPr>
              <w:t>桥氧</w:t>
            </w:r>
          </w:p>
        </w:tc>
      </w:tr>
    </w:tbl>
    <w:p>
      <w:pPr>
        <w:pStyle w:val="42"/>
        <w:ind w:firstLine="420"/>
      </w:pPr>
    </w:p>
    <w:p>
      <w:pPr>
        <w:pStyle w:val="42"/>
        <w:ind w:firstLine="420"/>
      </w:pPr>
    </w:p>
    <w:p>
      <w:pPr>
        <w:pStyle w:val="42"/>
        <w:ind w:firstLine="420"/>
      </w:pPr>
    </w:p>
    <w:p>
      <w:pPr>
        <w:pStyle w:val="174"/>
      </w:pPr>
    </w:p>
    <w:p>
      <w:pPr>
        <w:pStyle w:val="175"/>
      </w:pPr>
    </w:p>
    <w:p>
      <w:pPr>
        <w:pStyle w:val="61"/>
        <w:spacing w:after="156"/>
      </w:pPr>
      <w:r>
        <w:br w:type="textWrapping"/>
      </w:r>
      <w:bookmarkStart w:id="84" w:name="_Toc137645748"/>
      <w:bookmarkStart w:id="85" w:name="_Toc137645735"/>
      <w:r>
        <w:rPr>
          <w:rFonts w:hint="eastAsia"/>
        </w:rPr>
        <w:t>（资料性）</w:t>
      </w:r>
      <w:r>
        <w:br w:type="textWrapping"/>
      </w:r>
      <w:r>
        <w:rPr>
          <w:rFonts w:hint="eastAsia"/>
        </w:rPr>
        <w:t>梅岭玉激光拉曼光谱</w:t>
      </w:r>
      <w:bookmarkEnd w:id="84"/>
      <w:bookmarkEnd w:id="85"/>
    </w:p>
    <w:p>
      <w:pPr>
        <w:pStyle w:val="42"/>
        <w:ind w:firstLine="420"/>
      </w:pPr>
      <w:r>
        <w:rPr>
          <w:rFonts w:hint="eastAsia"/>
        </w:rPr>
        <w:t>梅岭玉的激光拉曼光谱图谱见图C.1，拉曼位移峰及其归属见表C.1。</w:t>
      </w:r>
    </w:p>
    <w:p>
      <w:pPr>
        <w:pStyle w:val="42"/>
        <w:ind w:firstLine="0" w:firstLineChars="0"/>
        <w:jc w:val="center"/>
      </w:pPr>
      <w:r>
        <w:drawing>
          <wp:inline distT="0" distB="0" distL="114300" distR="114300">
            <wp:extent cx="5854700" cy="3627120"/>
            <wp:effectExtent l="0" t="0" r="0" b="5080"/>
            <wp:docPr id="11" name="图片 11" descr="Grap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Graph1"/>
                    <pic:cNvPicPr>
                      <a:picLocks noChangeAspect="1"/>
                    </pic:cNvPicPr>
                  </pic:nvPicPr>
                  <pic:blipFill>
                    <a:blip r:embed="rId36"/>
                    <a:srcRect t="3127" b="8238"/>
                    <a:stretch>
                      <a:fillRect/>
                    </a:stretch>
                  </pic:blipFill>
                  <pic:spPr>
                    <a:xfrm>
                      <a:off x="0" y="0"/>
                      <a:ext cx="5854700" cy="3627120"/>
                    </a:xfrm>
                    <a:prstGeom prst="rect">
                      <a:avLst/>
                    </a:prstGeom>
                  </pic:spPr>
                </pic:pic>
              </a:graphicData>
            </a:graphic>
          </wp:inline>
        </w:drawing>
      </w:r>
    </w:p>
    <w:p>
      <w:pPr>
        <w:pStyle w:val="68"/>
        <w:spacing w:before="156" w:after="156"/>
      </w:pPr>
      <w:r>
        <w:rPr>
          <w:rFonts w:hint="eastAsia"/>
        </w:rPr>
        <w:t>梅岭玉激光拉曼光谱图谱</w:t>
      </w:r>
    </w:p>
    <w:p>
      <w:pPr>
        <w:pStyle w:val="62"/>
        <w:spacing w:before="156" w:after="156"/>
      </w:pPr>
      <w:r>
        <w:rPr>
          <w:rFonts w:hint="eastAsia"/>
        </w:rPr>
        <w:t>拉曼位移峰及其归属</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峰 位（cm</w:t>
            </w:r>
            <w:r>
              <w:rPr>
                <w:rFonts w:hint="eastAsia" w:ascii="宋体" w:hAnsi="宋体"/>
                <w:sz w:val="18"/>
                <w:szCs w:val="18"/>
                <w:vertAlign w:val="superscript"/>
              </w:rPr>
              <w:t>-1</w:t>
            </w:r>
            <w:r>
              <w:rPr>
                <w:rFonts w:hint="eastAsia" w:ascii="宋体" w:hAnsi="宋体"/>
                <w:sz w:val="18"/>
                <w:szCs w:val="18"/>
              </w:rPr>
              <w:t>）</w:t>
            </w:r>
          </w:p>
        </w:tc>
        <w:tc>
          <w:tcPr>
            <w:tcW w:w="4667"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归 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pPr>
              <w:spacing w:line="240" w:lineRule="auto"/>
              <w:rPr>
                <w:rFonts w:ascii="宋体" w:hAnsi="宋体"/>
                <w:sz w:val="18"/>
                <w:szCs w:val="18"/>
              </w:rPr>
            </w:pPr>
            <w:r>
              <w:rPr>
                <w:rFonts w:hint="eastAsia" w:ascii="宋体" w:hAnsi="宋体"/>
                <w:sz w:val="18"/>
                <w:szCs w:val="18"/>
              </w:rPr>
              <w:t>124、162、180、225、234、251、304</w:t>
            </w:r>
          </w:p>
        </w:tc>
        <w:tc>
          <w:tcPr>
            <w:tcW w:w="4667" w:type="dxa"/>
            <w:tcBorders>
              <w:top w:val="single" w:color="auto" w:sz="8" w:space="0"/>
            </w:tcBorders>
            <w:vAlign w:val="center"/>
          </w:tcPr>
          <w:p>
            <w:pPr>
              <w:widowControl/>
              <w:spacing w:line="240" w:lineRule="auto"/>
              <w:rPr>
                <w:rFonts w:ascii="宋体" w:hAnsi="宋体"/>
                <w:sz w:val="18"/>
                <w:szCs w:val="18"/>
              </w:rPr>
            </w:pPr>
            <w:r>
              <w:rPr>
                <w:rFonts w:hint="eastAsia" w:ascii="宋体" w:hAnsi="宋体"/>
                <w:color w:val="000000"/>
                <w:kern w:val="0"/>
                <w:sz w:val="18"/>
                <w:szCs w:val="18"/>
              </w:rPr>
              <w:t>晶格振动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350、369、395、418、437</w:t>
            </w:r>
          </w:p>
        </w:tc>
        <w:tc>
          <w:tcPr>
            <w:tcW w:w="4667" w:type="dxa"/>
            <w:vAlign w:val="center"/>
          </w:tcPr>
          <w:p>
            <w:pPr>
              <w:widowControl/>
              <w:spacing w:line="240" w:lineRule="auto"/>
              <w:rPr>
                <w:rFonts w:ascii="宋体" w:hAnsi="宋体"/>
                <w:sz w:val="18"/>
                <w:szCs w:val="18"/>
              </w:rPr>
            </w:pPr>
            <w:r>
              <w:rPr>
                <w:rFonts w:hint="eastAsia" w:ascii="宋体" w:hAnsi="宋体"/>
                <w:color w:val="000000"/>
                <w:kern w:val="0"/>
                <w:sz w:val="18"/>
                <w:szCs w:val="18"/>
              </w:rPr>
              <w:t>M-O振动，M=Ca、Mg、Fe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525</w:t>
            </w:r>
          </w:p>
        </w:tc>
        <w:tc>
          <w:tcPr>
            <w:tcW w:w="4667" w:type="dxa"/>
            <w:vAlign w:val="center"/>
          </w:tcPr>
          <w:p>
            <w:pPr>
              <w:widowControl/>
              <w:spacing w:line="240" w:lineRule="auto"/>
              <w:rPr>
                <w:rFonts w:ascii="宋体" w:hAnsi="宋体"/>
                <w:sz w:val="18"/>
                <w:szCs w:val="18"/>
              </w:rPr>
            </w:pPr>
            <w:r>
              <w:rPr>
                <w:rFonts w:hint="eastAsia" w:ascii="宋体" w:hAnsi="宋体"/>
                <w:color w:val="000000"/>
                <w:kern w:val="0"/>
                <w:sz w:val="18"/>
                <w:szCs w:val="18"/>
              </w:rPr>
              <w:t>Si-O弯曲振动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sz w:val="18"/>
                <w:szCs w:val="18"/>
              </w:rPr>
            </w:pPr>
            <w:r>
              <w:rPr>
                <w:rFonts w:hint="eastAsia" w:ascii="宋体" w:hAnsi="宋体"/>
                <w:sz w:val="18"/>
                <w:szCs w:val="18"/>
              </w:rPr>
              <w:t>674、742</w:t>
            </w:r>
          </w:p>
        </w:tc>
        <w:tc>
          <w:tcPr>
            <w:tcW w:w="4667" w:type="dxa"/>
            <w:vAlign w:val="center"/>
          </w:tcPr>
          <w:p>
            <w:pPr>
              <w:widowControl/>
              <w:spacing w:line="240" w:lineRule="auto"/>
              <w:rPr>
                <w:rFonts w:ascii="宋体" w:hAnsi="宋体"/>
                <w:color w:val="000000"/>
                <w:kern w:val="0"/>
                <w:sz w:val="18"/>
                <w:szCs w:val="18"/>
              </w:rPr>
            </w:pPr>
            <w:r>
              <w:rPr>
                <w:rFonts w:hint="eastAsia" w:ascii="宋体" w:hAnsi="宋体"/>
                <w:bCs/>
                <w:color w:val="000000"/>
                <w:kern w:val="0"/>
                <w:sz w:val="18"/>
                <w:szCs w:val="18"/>
              </w:rPr>
              <w:t>Si-O</w:t>
            </w:r>
            <w:r>
              <w:rPr>
                <w:rFonts w:hint="eastAsia" w:ascii="宋体" w:hAnsi="宋体"/>
                <w:bCs/>
                <w:color w:val="000000"/>
                <w:kern w:val="0"/>
                <w:sz w:val="18"/>
                <w:szCs w:val="18"/>
                <w:vertAlign w:val="subscript"/>
              </w:rPr>
              <w:t>b</w:t>
            </w:r>
            <w:r>
              <w:rPr>
                <w:rFonts w:hint="eastAsia" w:ascii="宋体" w:hAnsi="宋体"/>
                <w:bCs/>
                <w:color w:val="000000"/>
                <w:kern w:val="0"/>
                <w:sz w:val="18"/>
                <w:szCs w:val="18"/>
              </w:rPr>
              <w:t>-Si 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000000"/>
                <w:kern w:val="0"/>
                <w:sz w:val="18"/>
                <w:szCs w:val="18"/>
              </w:rPr>
            </w:pPr>
            <w:r>
              <w:rPr>
                <w:rFonts w:hint="eastAsia" w:ascii="宋体" w:hAnsi="宋体"/>
                <w:sz w:val="18"/>
                <w:szCs w:val="18"/>
              </w:rPr>
              <w:t>929</w:t>
            </w:r>
          </w:p>
        </w:tc>
        <w:tc>
          <w:tcPr>
            <w:tcW w:w="4667" w:type="dxa"/>
            <w:vAlign w:val="center"/>
          </w:tcPr>
          <w:p>
            <w:pPr>
              <w:widowControl/>
              <w:spacing w:line="240" w:lineRule="auto"/>
              <w:rPr>
                <w:rFonts w:ascii="宋体" w:hAnsi="宋体"/>
                <w:color w:val="000000"/>
                <w:kern w:val="0"/>
                <w:sz w:val="18"/>
                <w:szCs w:val="18"/>
              </w:rPr>
            </w:pPr>
            <w:r>
              <w:rPr>
                <w:rFonts w:hint="eastAsia" w:ascii="宋体" w:hAnsi="宋体"/>
                <w:color w:val="000000"/>
                <w:kern w:val="0"/>
                <w:sz w:val="18"/>
                <w:szCs w:val="18"/>
              </w:rPr>
              <w:t>O-Si-O</w:t>
            </w:r>
            <w:r>
              <w:rPr>
                <w:rFonts w:hint="eastAsia" w:ascii="宋体" w:hAnsi="宋体"/>
                <w:bCs/>
                <w:color w:val="000000"/>
                <w:kern w:val="0"/>
                <w:sz w:val="18"/>
                <w:szCs w:val="18"/>
              </w:rPr>
              <w:t>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000000"/>
                <w:kern w:val="0"/>
                <w:sz w:val="18"/>
                <w:szCs w:val="18"/>
              </w:rPr>
            </w:pPr>
            <w:r>
              <w:rPr>
                <w:rFonts w:hint="eastAsia" w:ascii="宋体" w:hAnsi="宋体"/>
                <w:sz w:val="18"/>
                <w:szCs w:val="18"/>
              </w:rPr>
              <w:t>1029、1059</w:t>
            </w:r>
          </w:p>
        </w:tc>
        <w:tc>
          <w:tcPr>
            <w:tcW w:w="4667" w:type="dxa"/>
            <w:vAlign w:val="center"/>
          </w:tcPr>
          <w:p>
            <w:pPr>
              <w:widowControl/>
              <w:spacing w:line="240" w:lineRule="auto"/>
              <w:rPr>
                <w:rFonts w:ascii="宋体" w:hAnsi="宋体"/>
                <w:color w:val="000000"/>
                <w:kern w:val="0"/>
                <w:sz w:val="18"/>
                <w:szCs w:val="18"/>
              </w:rPr>
            </w:pPr>
            <w:r>
              <w:rPr>
                <w:rFonts w:hint="eastAsia" w:ascii="宋体" w:hAnsi="宋体"/>
                <w:color w:val="000000"/>
                <w:kern w:val="0"/>
                <w:sz w:val="18"/>
                <w:szCs w:val="18"/>
              </w:rPr>
              <w:t>Si-</w:t>
            </w:r>
            <w:r>
              <w:rPr>
                <w:rFonts w:hint="eastAsia" w:ascii="宋体" w:hAnsi="宋体"/>
                <w:bCs/>
                <w:color w:val="000000"/>
                <w:kern w:val="0"/>
                <w:sz w:val="18"/>
                <w:szCs w:val="18"/>
              </w:rPr>
              <w:t>O</w:t>
            </w:r>
            <w:r>
              <w:rPr>
                <w:rFonts w:hint="eastAsia" w:ascii="宋体" w:hAnsi="宋体"/>
                <w:bCs/>
                <w:color w:val="000000"/>
                <w:kern w:val="0"/>
                <w:sz w:val="18"/>
                <w:szCs w:val="18"/>
                <w:vertAlign w:val="subscript"/>
              </w:rPr>
              <w:t>b</w:t>
            </w:r>
            <w:r>
              <w:rPr>
                <w:rFonts w:hint="eastAsia" w:ascii="宋体" w:hAnsi="宋体"/>
                <w:color w:val="000000"/>
                <w:kern w:val="0"/>
                <w:sz w:val="18"/>
                <w:szCs w:val="18"/>
              </w:rPr>
              <w:t>-Si反</w:t>
            </w:r>
            <w:r>
              <w:rPr>
                <w:rFonts w:hint="eastAsia" w:ascii="宋体" w:hAnsi="宋体"/>
                <w:bCs/>
                <w:color w:val="000000"/>
                <w:kern w:val="0"/>
                <w:sz w:val="18"/>
                <w:szCs w:val="18"/>
              </w:rPr>
              <w:t>对称伸缩振动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pPr>
              <w:spacing w:line="240" w:lineRule="auto"/>
              <w:rPr>
                <w:rFonts w:ascii="宋体" w:hAnsi="宋体"/>
                <w:color w:val="000000"/>
                <w:kern w:val="0"/>
                <w:sz w:val="18"/>
                <w:szCs w:val="18"/>
              </w:rPr>
            </w:pPr>
            <w:r>
              <w:rPr>
                <w:rFonts w:hint="eastAsia" w:ascii="宋体" w:hAnsi="宋体"/>
                <w:color w:val="000000"/>
                <w:kern w:val="0"/>
                <w:sz w:val="18"/>
                <w:szCs w:val="18"/>
              </w:rPr>
              <w:t>3675</w:t>
            </w:r>
          </w:p>
        </w:tc>
        <w:tc>
          <w:tcPr>
            <w:tcW w:w="4667" w:type="dxa"/>
            <w:vAlign w:val="center"/>
          </w:tcPr>
          <w:p>
            <w:pPr>
              <w:widowControl/>
              <w:spacing w:line="240" w:lineRule="auto"/>
              <w:rPr>
                <w:rFonts w:ascii="宋体" w:hAnsi="宋体"/>
                <w:color w:val="000000"/>
                <w:kern w:val="0"/>
                <w:sz w:val="18"/>
                <w:szCs w:val="18"/>
              </w:rPr>
            </w:pPr>
            <w:r>
              <w:rPr>
                <w:rFonts w:hint="eastAsia" w:ascii="宋体" w:hAnsi="宋体"/>
                <w:color w:val="000000"/>
                <w:kern w:val="0"/>
                <w:sz w:val="18"/>
                <w:szCs w:val="18"/>
              </w:rPr>
              <w:t>MgMgMg-OH</w:t>
            </w:r>
            <w:r>
              <w:rPr>
                <w:rFonts w:hint="eastAsia" w:ascii="宋体" w:hAnsi="宋体"/>
                <w:sz w:val="18"/>
                <w:szCs w:val="18"/>
                <w:vertAlign w:val="superscript"/>
              </w:rPr>
              <w:t xml:space="preserve"> </w:t>
            </w:r>
            <w:r>
              <w:rPr>
                <w:rFonts w:hint="eastAsia" w:ascii="宋体" w:hAnsi="宋体"/>
                <w:color w:val="000000"/>
                <w:kern w:val="0"/>
                <w:sz w:val="18"/>
                <w:szCs w:val="18"/>
              </w:rPr>
              <w:t>伸缩振动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vAlign w:val="center"/>
          </w:tcPr>
          <w:p>
            <w:pPr>
              <w:pStyle w:val="157"/>
              <w:jc w:val="both"/>
              <w:rPr>
                <w:rFonts w:hAnsi="宋体"/>
              </w:rPr>
            </w:pPr>
            <w:r>
              <w:rPr>
                <w:rFonts w:hint="eastAsia" w:hAnsi="宋体"/>
                <w:color w:val="000000"/>
                <w:szCs w:val="18"/>
              </w:rPr>
              <w:t>注：</w:t>
            </w:r>
            <w:r>
              <w:rPr>
                <w:rFonts w:hint="eastAsia" w:hAnsi="宋体"/>
                <w:bCs/>
                <w:color w:val="000000"/>
                <w:szCs w:val="18"/>
              </w:rPr>
              <w:t>O</w:t>
            </w:r>
            <w:r>
              <w:rPr>
                <w:rFonts w:hint="eastAsia" w:hAnsi="宋体"/>
                <w:bCs/>
                <w:color w:val="000000"/>
                <w:szCs w:val="18"/>
                <w:vertAlign w:val="subscript"/>
              </w:rPr>
              <w:t>b</w:t>
            </w:r>
            <w:r>
              <w:rPr>
                <w:rFonts w:hint="eastAsia" w:hAnsi="宋体"/>
                <w:color w:val="000000"/>
                <w:szCs w:val="18"/>
              </w:rPr>
              <w:t>—桥氧</w:t>
            </w:r>
          </w:p>
        </w:tc>
      </w:tr>
    </w:tbl>
    <w:p>
      <w:pPr>
        <w:pStyle w:val="42"/>
        <w:ind w:firstLine="0" w:firstLineChars="0"/>
      </w:pPr>
    </w:p>
    <w:p>
      <w:pPr>
        <w:pStyle w:val="42"/>
        <w:ind w:firstLine="420"/>
      </w:pPr>
    </w:p>
    <w:p>
      <w:pPr>
        <w:pStyle w:val="42"/>
        <w:ind w:firstLine="420"/>
      </w:pPr>
    </w:p>
    <w:p>
      <w:pPr>
        <w:pStyle w:val="42"/>
        <w:ind w:firstLine="420"/>
      </w:pPr>
    </w:p>
    <w:p>
      <w:pPr>
        <w:pStyle w:val="174"/>
      </w:pPr>
    </w:p>
    <w:p>
      <w:pPr>
        <w:pStyle w:val="175"/>
      </w:pPr>
    </w:p>
    <w:p>
      <w:pPr>
        <w:pStyle w:val="61"/>
        <w:spacing w:after="156"/>
      </w:pPr>
      <w:r>
        <w:br w:type="textWrapping"/>
      </w:r>
      <w:bookmarkStart w:id="86" w:name="_Toc137645736"/>
      <w:bookmarkStart w:id="87" w:name="_Toc137645749"/>
      <w:r>
        <w:rPr>
          <w:rFonts w:hint="eastAsia"/>
        </w:rPr>
        <w:t>（资料性）</w:t>
      </w:r>
      <w:r>
        <w:br w:type="textWrapping"/>
      </w:r>
      <w:r>
        <w:rPr>
          <w:rFonts w:hint="eastAsia"/>
        </w:rPr>
        <w:t>梅岭玉X射线粉晶衍射</w:t>
      </w:r>
      <w:bookmarkEnd w:id="86"/>
      <w:bookmarkEnd w:id="87"/>
    </w:p>
    <w:p>
      <w:pPr>
        <w:pStyle w:val="42"/>
        <w:ind w:firstLine="420"/>
        <w:rPr>
          <w:szCs w:val="21"/>
        </w:rPr>
      </w:pPr>
      <w:r>
        <w:rPr>
          <w:rFonts w:hint="eastAsia"/>
        </w:rPr>
        <w:t>梅岭玉的X射线粉晶衍射图谱见图D.1，X射线粉晶衍射数据见表D.1。</w:t>
      </w:r>
    </w:p>
    <w:p>
      <w:pPr>
        <w:pStyle w:val="42"/>
        <w:ind w:firstLine="0" w:firstLineChars="0"/>
      </w:pPr>
      <w:r>
        <w:rPr>
          <w:rFonts w:hint="eastAsia"/>
        </w:rPr>
        <w:drawing>
          <wp:inline distT="0" distB="0" distL="114300" distR="114300">
            <wp:extent cx="5842635" cy="3056255"/>
            <wp:effectExtent l="0" t="0" r="0" b="0"/>
            <wp:docPr id="5" name="图片 5" descr="X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XRD"/>
                    <pic:cNvPicPr>
                      <a:picLocks noChangeAspect="1"/>
                    </pic:cNvPicPr>
                  </pic:nvPicPr>
                  <pic:blipFill>
                    <a:blip r:embed="rId37"/>
                    <a:srcRect l="2031" t="1938" r="1592" b="2906"/>
                    <a:stretch>
                      <a:fillRect/>
                    </a:stretch>
                  </pic:blipFill>
                  <pic:spPr>
                    <a:xfrm>
                      <a:off x="0" y="0"/>
                      <a:ext cx="5842635" cy="3056255"/>
                    </a:xfrm>
                    <a:prstGeom prst="rect">
                      <a:avLst/>
                    </a:prstGeom>
                  </pic:spPr>
                </pic:pic>
              </a:graphicData>
            </a:graphic>
          </wp:inline>
        </w:drawing>
      </w:r>
    </w:p>
    <w:p>
      <w:pPr>
        <w:pStyle w:val="68"/>
        <w:spacing w:before="156" w:after="156"/>
      </w:pPr>
      <w:r>
        <w:rPr>
          <w:rFonts w:hint="eastAsia"/>
        </w:rPr>
        <w:t>梅岭玉X射线粉晶衍射图谱</w:t>
      </w:r>
    </w:p>
    <w:p>
      <w:pPr>
        <w:pStyle w:val="62"/>
        <w:spacing w:before="156" w:after="156"/>
        <w:rPr>
          <w:color w:val="auto"/>
        </w:rPr>
      </w:pPr>
      <w:r>
        <w:rPr>
          <w:rFonts w:hint="eastAsia"/>
        </w:rPr>
        <w:t>梅岭玉X射线粉晶衍射数据表</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33"/>
        <w:gridCol w:w="2333"/>
        <w:gridCol w:w="2334"/>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left w:val="single" w:color="auto" w:sz="8" w:space="0"/>
              <w:bottom w:val="single" w:color="auto" w:sz="8" w:space="0"/>
              <w:right w:val="single" w:color="auto" w:sz="4" w:space="0"/>
            </w:tcBorders>
            <w:shd w:val="clear" w:color="auto" w:fill="auto"/>
            <w:vAlign w:val="center"/>
          </w:tcPr>
          <w:p>
            <w:pPr>
              <w:spacing w:line="240" w:lineRule="auto"/>
              <w:jc w:val="center"/>
              <w:rPr>
                <w:rFonts w:ascii="宋体" w:hAnsi="宋体"/>
                <w:color w:val="auto"/>
                <w:sz w:val="18"/>
                <w:szCs w:val="18"/>
              </w:rPr>
            </w:pPr>
            <w:r>
              <w:rPr>
                <w:rFonts w:hint="eastAsia" w:ascii="宋体" w:hAnsi="宋体"/>
                <w:color w:val="auto"/>
                <w:sz w:val="18"/>
                <w:szCs w:val="18"/>
              </w:rPr>
              <w:t>位置2θ（°）</w:t>
            </w:r>
          </w:p>
        </w:tc>
        <w:tc>
          <w:tcPr>
            <w:tcW w:w="2333"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40" w:lineRule="auto"/>
              <w:jc w:val="center"/>
              <w:rPr>
                <w:rFonts w:ascii="宋体" w:hAnsi="宋体"/>
                <w:color w:val="auto"/>
                <w:sz w:val="18"/>
                <w:szCs w:val="18"/>
              </w:rPr>
            </w:pPr>
            <w:r>
              <w:rPr>
                <w:rFonts w:hint="eastAsia" w:ascii="宋体" w:hAnsi="宋体"/>
                <w:color w:val="auto"/>
                <w:sz w:val="18"/>
                <w:szCs w:val="18"/>
              </w:rPr>
              <w:t>计数（cts）</w:t>
            </w:r>
          </w:p>
        </w:tc>
        <w:tc>
          <w:tcPr>
            <w:tcW w:w="2334"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40" w:lineRule="auto"/>
              <w:jc w:val="center"/>
              <w:rPr>
                <w:rFonts w:ascii="宋体" w:hAnsi="宋体"/>
                <w:color w:val="auto"/>
                <w:sz w:val="18"/>
                <w:szCs w:val="18"/>
              </w:rPr>
            </w:pPr>
            <w:r>
              <w:rPr>
                <w:rFonts w:hint="eastAsia" w:ascii="宋体" w:hAnsi="宋体"/>
                <w:color w:val="auto"/>
                <w:sz w:val="18"/>
                <w:szCs w:val="18"/>
              </w:rPr>
              <w:t>间距（</w:t>
            </w:r>
            <w:r>
              <w:rPr>
                <w:rFonts w:ascii="宋体" w:hAnsi="宋体" w:cs="Calibri"/>
                <w:color w:val="auto"/>
                <w:sz w:val="18"/>
                <w:szCs w:val="18"/>
              </w:rPr>
              <w:t>Å</w:t>
            </w:r>
            <w:r>
              <w:rPr>
                <w:rFonts w:hint="eastAsia" w:ascii="宋体" w:hAnsi="宋体"/>
                <w:color w:val="auto"/>
                <w:sz w:val="18"/>
                <w:szCs w:val="18"/>
              </w:rPr>
              <w:t>）</w:t>
            </w:r>
          </w:p>
        </w:tc>
        <w:tc>
          <w:tcPr>
            <w:tcW w:w="2334" w:type="dxa"/>
            <w:tcBorders>
              <w:top w:val="single" w:color="auto" w:sz="8" w:space="0"/>
              <w:left w:val="single" w:color="auto" w:sz="4" w:space="0"/>
              <w:bottom w:val="single" w:color="auto" w:sz="8" w:space="0"/>
              <w:right w:val="single" w:color="auto" w:sz="8" w:space="0"/>
            </w:tcBorders>
            <w:shd w:val="clear" w:color="auto" w:fill="auto"/>
            <w:vAlign w:val="center"/>
          </w:tcPr>
          <w:p>
            <w:pPr>
              <w:spacing w:line="240" w:lineRule="auto"/>
              <w:jc w:val="center"/>
              <w:rPr>
                <w:rFonts w:ascii="宋体" w:hAnsi="宋体"/>
                <w:color w:val="auto"/>
                <w:sz w:val="18"/>
                <w:szCs w:val="18"/>
              </w:rPr>
            </w:pPr>
            <w:r>
              <w:rPr>
                <w:rFonts w:hint="eastAsia" w:ascii="宋体" w:hAnsi="宋体"/>
                <w:color w:val="auto"/>
                <w:sz w:val="18"/>
                <w:szCs w:val="18"/>
              </w:rPr>
              <w:t>强度（%）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9.8486</w:t>
            </w:r>
          </w:p>
        </w:tc>
        <w:tc>
          <w:tcPr>
            <w:tcW w:w="2333" w:type="dxa"/>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171.67</w:t>
            </w:r>
          </w:p>
        </w:tc>
        <w:tc>
          <w:tcPr>
            <w:tcW w:w="2334" w:type="dxa"/>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8.9737</w:t>
            </w:r>
          </w:p>
        </w:tc>
        <w:tc>
          <w:tcPr>
            <w:tcW w:w="2334" w:type="dxa"/>
            <w:tcBorders>
              <w:top w:val="single" w:color="auto" w:sz="8"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69.16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10.5589</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200.73</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8.3786</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80.86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17.4375</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102.46</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5.0817</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41.27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18.3144</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51.83</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4.8442</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20.88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19.7802</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113.94</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4.4885</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45.90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21.1320</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55.71</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4.2008</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22.44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22.8153</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26.14</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3.8978</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10.53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26.4505</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84.48</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3.3698</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27.3178</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177.31</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3.2647</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71.43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28.6602</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248.24</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3.1148</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30.4710</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127.19</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2.9337</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51.24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31.9162</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59.40</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2.8018</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23.93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33.2199</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151.81</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2.6970</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61.15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34.6459</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108.06</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2.5892</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43.53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35.4829</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138.24</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2.5300</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55.69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38.8586</w:t>
            </w:r>
          </w:p>
        </w:tc>
        <w:tc>
          <w:tcPr>
            <w:tcW w:w="233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65.96</w:t>
            </w:r>
          </w:p>
        </w:tc>
        <w:tc>
          <w:tcPr>
            <w:tcW w:w="233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2.3177</w:t>
            </w:r>
          </w:p>
        </w:tc>
        <w:tc>
          <w:tcPr>
            <w:tcW w:w="2334" w:type="dxa"/>
            <w:tcBorders>
              <w:top w:val="single" w:color="auto" w:sz="4" w:space="0"/>
              <w:left w:val="single" w:color="auto" w:sz="4" w:space="0"/>
              <w:bottom w:val="single" w:color="auto" w:sz="4"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26.57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8"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39.6892</w:t>
            </w:r>
          </w:p>
        </w:tc>
        <w:tc>
          <w:tcPr>
            <w:tcW w:w="2333"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46.66</w:t>
            </w:r>
          </w:p>
        </w:tc>
        <w:tc>
          <w:tcPr>
            <w:tcW w:w="2334" w:type="dxa"/>
            <w:tcBorders>
              <w:top w:val="single" w:color="auto" w:sz="4" w:space="0"/>
              <w:left w:val="single" w:color="auto" w:sz="4" w:space="0"/>
              <w:bottom w:val="single" w:color="auto" w:sz="8" w:space="0"/>
              <w:right w:val="single" w:color="auto" w:sz="4"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2.2710</w:t>
            </w:r>
          </w:p>
        </w:tc>
        <w:tc>
          <w:tcPr>
            <w:tcW w:w="2334" w:type="dxa"/>
            <w:tcBorders>
              <w:top w:val="single" w:color="auto" w:sz="4" w:space="0"/>
              <w:left w:val="single" w:color="auto" w:sz="4" w:space="0"/>
              <w:bottom w:val="single" w:color="auto" w:sz="8" w:space="0"/>
              <w:right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18.80</w:t>
            </w:r>
          </w:p>
        </w:tc>
      </w:tr>
    </w:tbl>
    <w:p>
      <w:pPr>
        <w:pStyle w:val="42"/>
        <w:pageBreakBefore/>
        <w:spacing w:before="156" w:beforeLines="50" w:after="156" w:afterLines="50"/>
        <w:ind w:firstLine="0" w:firstLineChars="0"/>
        <w:jc w:val="center"/>
        <w:rPr>
          <w:rFonts w:ascii="黑体" w:hAnsi="黑体" w:eastAsia="黑体"/>
        </w:rPr>
      </w:pPr>
      <w:r>
        <w:rPr>
          <w:rFonts w:hint="eastAsia" w:ascii="黑体" w:hAnsi="黑体" w:eastAsia="黑体"/>
        </w:rPr>
        <w:t>表D.1  梅岭玉X射线粉晶衍射数据表</w:t>
      </w:r>
      <w:r>
        <w:rPr>
          <w:rFonts w:hint="eastAsia" w:hAnsi="宋体"/>
        </w:rPr>
        <w:t>（续）</w:t>
      </w:r>
    </w:p>
    <w:tbl>
      <w:tblPr>
        <w:tblStyle w:val="26"/>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33"/>
        <w:gridCol w:w="2333"/>
        <w:gridCol w:w="2334"/>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left w:val="single" w:color="auto" w:sz="8" w:space="0"/>
              <w:bottom w:val="single" w:color="auto" w:sz="8" w:space="0"/>
              <w:right w:val="single" w:color="auto" w:sz="4" w:space="0"/>
            </w:tcBorders>
            <w:vAlign w:val="center"/>
          </w:tcPr>
          <w:p>
            <w:pPr>
              <w:spacing w:line="240" w:lineRule="auto"/>
              <w:jc w:val="center"/>
              <w:rPr>
                <w:rFonts w:ascii="宋体" w:hAnsi="宋体"/>
                <w:color w:val="auto"/>
                <w:sz w:val="18"/>
                <w:szCs w:val="24"/>
              </w:rPr>
            </w:pPr>
            <w:r>
              <w:rPr>
                <w:rFonts w:hint="eastAsia" w:ascii="宋体" w:hAnsi="宋体"/>
                <w:color w:val="auto"/>
                <w:sz w:val="18"/>
                <w:szCs w:val="18"/>
              </w:rPr>
              <w:t>位置2θ（°）</w:t>
            </w:r>
          </w:p>
        </w:tc>
        <w:tc>
          <w:tcPr>
            <w:tcW w:w="2333" w:type="dxa"/>
            <w:tcBorders>
              <w:top w:val="single" w:color="auto" w:sz="8" w:space="0"/>
              <w:left w:val="single" w:color="auto" w:sz="4" w:space="0"/>
              <w:bottom w:val="single" w:color="auto" w:sz="8" w:space="0"/>
              <w:right w:val="single" w:color="auto" w:sz="4" w:space="0"/>
            </w:tcBorders>
            <w:vAlign w:val="center"/>
          </w:tcPr>
          <w:p>
            <w:pPr>
              <w:spacing w:line="240" w:lineRule="auto"/>
              <w:jc w:val="center"/>
              <w:rPr>
                <w:rFonts w:ascii="宋体" w:hAnsi="宋体"/>
                <w:color w:val="auto"/>
                <w:sz w:val="18"/>
                <w:szCs w:val="24"/>
              </w:rPr>
            </w:pPr>
            <w:r>
              <w:rPr>
                <w:rFonts w:hint="eastAsia" w:ascii="宋体" w:hAnsi="宋体"/>
                <w:color w:val="auto"/>
                <w:sz w:val="18"/>
                <w:szCs w:val="18"/>
              </w:rPr>
              <w:t>计数（cts）</w:t>
            </w:r>
          </w:p>
        </w:tc>
        <w:tc>
          <w:tcPr>
            <w:tcW w:w="2334" w:type="dxa"/>
            <w:tcBorders>
              <w:top w:val="single" w:color="auto" w:sz="8" w:space="0"/>
              <w:left w:val="single" w:color="auto" w:sz="4" w:space="0"/>
              <w:bottom w:val="single" w:color="auto" w:sz="8" w:space="0"/>
              <w:right w:val="single" w:color="auto" w:sz="4" w:space="0"/>
            </w:tcBorders>
            <w:vAlign w:val="center"/>
          </w:tcPr>
          <w:p>
            <w:pPr>
              <w:spacing w:line="240" w:lineRule="auto"/>
              <w:jc w:val="center"/>
              <w:rPr>
                <w:rFonts w:ascii="宋体" w:hAnsi="宋体"/>
                <w:color w:val="auto"/>
                <w:sz w:val="18"/>
                <w:szCs w:val="24"/>
              </w:rPr>
            </w:pPr>
            <w:r>
              <w:rPr>
                <w:rFonts w:hint="eastAsia" w:ascii="宋体" w:hAnsi="宋体"/>
                <w:color w:val="auto"/>
                <w:sz w:val="18"/>
                <w:szCs w:val="18"/>
              </w:rPr>
              <w:t>间距（</w:t>
            </w:r>
            <w:r>
              <w:rPr>
                <w:rFonts w:ascii="宋体" w:hAnsi="宋体" w:cs="Calibri"/>
                <w:color w:val="auto"/>
                <w:sz w:val="18"/>
                <w:szCs w:val="18"/>
              </w:rPr>
              <w:t>Å</w:t>
            </w:r>
            <w:r>
              <w:rPr>
                <w:rFonts w:hint="eastAsia" w:ascii="宋体" w:hAnsi="宋体"/>
                <w:color w:val="auto"/>
                <w:sz w:val="18"/>
                <w:szCs w:val="18"/>
              </w:rPr>
              <w:t>）</w:t>
            </w:r>
          </w:p>
        </w:tc>
        <w:tc>
          <w:tcPr>
            <w:tcW w:w="2334" w:type="dxa"/>
            <w:tcBorders>
              <w:top w:val="single" w:color="auto" w:sz="8" w:space="0"/>
              <w:left w:val="single" w:color="auto" w:sz="4" w:space="0"/>
              <w:bottom w:val="single" w:color="auto" w:sz="8" w:space="0"/>
              <w:right w:val="single" w:color="auto" w:sz="8" w:space="0"/>
            </w:tcBorders>
            <w:vAlign w:val="center"/>
          </w:tcPr>
          <w:p>
            <w:pPr>
              <w:spacing w:line="240" w:lineRule="auto"/>
              <w:jc w:val="center"/>
              <w:rPr>
                <w:rFonts w:ascii="宋体" w:hAnsi="宋体"/>
                <w:color w:val="auto"/>
                <w:sz w:val="18"/>
                <w:szCs w:val="24"/>
              </w:rPr>
            </w:pPr>
            <w:r>
              <w:rPr>
                <w:rFonts w:hint="eastAsia" w:ascii="宋体" w:hAnsi="宋体"/>
                <w:color w:val="auto"/>
                <w:sz w:val="18"/>
                <w:szCs w:val="18"/>
              </w:rPr>
              <w:t>强度（%）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41.8421</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80.91</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2.1590</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32.60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44.3964</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29.95</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szCs w:val="18"/>
              </w:rPr>
            </w:pPr>
            <w:r>
              <w:rPr>
                <w:rFonts w:hint="eastAsia" w:ascii="宋体" w:hAnsi="宋体"/>
                <w:sz w:val="18"/>
                <w:szCs w:val="18"/>
              </w:rPr>
              <w:t>2.0405</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12.07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45.0777</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43.05</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2.0113</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17.34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48.1639</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28.93</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1.8894</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11.65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48.8912</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57.12</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1.8614</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23.01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55.7663</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66.99</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1.6485</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26.99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61.5271</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35.07</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1.5072</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14.13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64.8984</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73.50</w:t>
            </w:r>
          </w:p>
        </w:tc>
        <w:tc>
          <w:tcPr>
            <w:tcW w:w="233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sz w:val="18"/>
              </w:rPr>
            </w:pPr>
            <w:r>
              <w:rPr>
                <w:rFonts w:hint="eastAsia" w:ascii="宋体" w:hAnsi="宋体"/>
                <w:sz w:val="18"/>
              </w:rPr>
              <w:t>1.4368</w:t>
            </w:r>
          </w:p>
        </w:tc>
        <w:tc>
          <w:tcPr>
            <w:tcW w:w="2334"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sz w:val="18"/>
              </w:rPr>
            </w:pPr>
            <w:r>
              <w:rPr>
                <w:rFonts w:hint="eastAsia" w:ascii="宋体" w:hAnsi="宋体"/>
                <w:sz w:val="18"/>
              </w:rPr>
              <w:t>29.61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4" w:space="0"/>
              <w:left w:val="single" w:color="auto" w:sz="8" w:space="0"/>
              <w:bottom w:val="single" w:color="auto" w:sz="8" w:space="0"/>
              <w:right w:val="single" w:color="auto" w:sz="4" w:space="0"/>
            </w:tcBorders>
            <w:vAlign w:val="center"/>
          </w:tcPr>
          <w:p>
            <w:pPr>
              <w:spacing w:line="240" w:lineRule="auto"/>
              <w:jc w:val="center"/>
              <w:rPr>
                <w:rFonts w:ascii="宋体" w:hAnsi="宋体"/>
                <w:sz w:val="18"/>
              </w:rPr>
            </w:pPr>
            <w:r>
              <w:rPr>
                <w:rFonts w:hint="eastAsia" w:ascii="宋体" w:hAnsi="宋体"/>
                <w:sz w:val="18"/>
              </w:rPr>
              <w:t>68.8937</w:t>
            </w:r>
          </w:p>
        </w:tc>
        <w:tc>
          <w:tcPr>
            <w:tcW w:w="2333" w:type="dxa"/>
            <w:tcBorders>
              <w:top w:val="single" w:color="auto" w:sz="4" w:space="0"/>
              <w:left w:val="single" w:color="auto" w:sz="4" w:space="0"/>
              <w:bottom w:val="single" w:color="auto" w:sz="8" w:space="0"/>
              <w:right w:val="single" w:color="auto" w:sz="4" w:space="0"/>
            </w:tcBorders>
            <w:vAlign w:val="center"/>
          </w:tcPr>
          <w:p>
            <w:pPr>
              <w:spacing w:line="240" w:lineRule="auto"/>
              <w:jc w:val="center"/>
              <w:rPr>
                <w:rFonts w:ascii="宋体" w:hAnsi="宋体"/>
                <w:sz w:val="18"/>
              </w:rPr>
            </w:pPr>
            <w:r>
              <w:rPr>
                <w:rFonts w:hint="eastAsia" w:ascii="宋体" w:hAnsi="宋体"/>
                <w:sz w:val="18"/>
              </w:rPr>
              <w:t>21.15</w:t>
            </w:r>
          </w:p>
        </w:tc>
        <w:tc>
          <w:tcPr>
            <w:tcW w:w="2334" w:type="dxa"/>
            <w:tcBorders>
              <w:top w:val="single" w:color="auto" w:sz="4" w:space="0"/>
              <w:left w:val="single" w:color="auto" w:sz="4" w:space="0"/>
              <w:bottom w:val="single" w:color="auto" w:sz="8" w:space="0"/>
              <w:right w:val="single" w:color="auto" w:sz="4" w:space="0"/>
            </w:tcBorders>
            <w:vAlign w:val="center"/>
          </w:tcPr>
          <w:p>
            <w:pPr>
              <w:spacing w:line="240" w:lineRule="auto"/>
              <w:jc w:val="center"/>
              <w:rPr>
                <w:rFonts w:ascii="宋体" w:hAnsi="宋体"/>
                <w:sz w:val="18"/>
              </w:rPr>
            </w:pPr>
            <w:r>
              <w:rPr>
                <w:rFonts w:hint="eastAsia" w:ascii="宋体" w:hAnsi="宋体"/>
                <w:sz w:val="18"/>
              </w:rPr>
              <w:t>1.3629</w:t>
            </w:r>
          </w:p>
        </w:tc>
        <w:tc>
          <w:tcPr>
            <w:tcW w:w="2334" w:type="dxa"/>
            <w:tcBorders>
              <w:top w:val="single" w:color="auto" w:sz="4" w:space="0"/>
              <w:left w:val="single" w:color="auto" w:sz="4" w:space="0"/>
              <w:bottom w:val="single" w:color="auto" w:sz="8" w:space="0"/>
              <w:right w:val="single" w:color="auto" w:sz="8" w:space="0"/>
            </w:tcBorders>
            <w:vAlign w:val="center"/>
          </w:tcPr>
          <w:p>
            <w:pPr>
              <w:spacing w:line="240" w:lineRule="auto"/>
              <w:jc w:val="center"/>
              <w:rPr>
                <w:rFonts w:ascii="宋体" w:hAnsi="宋体"/>
                <w:sz w:val="18"/>
              </w:rPr>
            </w:pPr>
            <w:r>
              <w:rPr>
                <w:rFonts w:hint="eastAsia" w:ascii="宋体" w:hAnsi="宋体"/>
                <w:sz w:val="18"/>
              </w:rPr>
              <w:t>8.52</w:t>
            </w:r>
          </w:p>
        </w:tc>
      </w:tr>
    </w:tbl>
    <w:p>
      <w:pPr>
        <w:pStyle w:val="42"/>
        <w:ind w:firstLine="420"/>
      </w:pPr>
    </w:p>
    <w:p>
      <w:pPr>
        <w:pStyle w:val="42"/>
        <w:ind w:firstLine="420"/>
      </w:pPr>
    </w:p>
    <w:p>
      <w:pPr>
        <w:pStyle w:val="42"/>
        <w:ind w:firstLine="420"/>
      </w:pPr>
    </w:p>
    <w:bookmarkEnd w:id="79"/>
    <w:p>
      <w:pPr>
        <w:pStyle w:val="42"/>
        <w:ind w:firstLine="420"/>
        <w:sectPr>
          <w:headerReference r:id="rId25" w:type="default"/>
          <w:footerReference r:id="rId27" w:type="default"/>
          <w:headerReference r:id="rId26" w:type="even"/>
          <w:footerReference r:id="rId28" w:type="even"/>
          <w:pgSz w:w="11906" w:h="16838"/>
          <w:pgMar w:top="1928" w:right="1134" w:bottom="1134" w:left="1134" w:header="1418" w:footer="1134" w:gutter="284"/>
          <w:cols w:space="720" w:num="1"/>
          <w:formProt w:val="0"/>
          <w:docGrid w:type="lines" w:linePitch="312" w:charSpace="0"/>
        </w:sectPr>
      </w:pPr>
      <w:bookmarkStart w:id="88" w:name="BookMark6"/>
    </w:p>
    <w:p>
      <w:pPr>
        <w:pStyle w:val="49"/>
        <w:spacing w:after="156"/>
      </w:pPr>
      <w:bookmarkStart w:id="89" w:name="_Toc137645750"/>
      <w:bookmarkStart w:id="90" w:name="_Toc137645737"/>
      <w:r>
        <w:rPr>
          <w:rFonts w:hint="eastAsia"/>
          <w:spacing w:val="105"/>
        </w:rPr>
        <w:t>参考文</w:t>
      </w:r>
      <w:r>
        <w:rPr>
          <w:rFonts w:hint="eastAsia"/>
        </w:rPr>
        <w:t>献</w:t>
      </w:r>
      <w:bookmarkEnd w:id="89"/>
      <w:bookmarkEnd w:id="90"/>
    </w:p>
    <w:p>
      <w:pPr>
        <w:jc w:val="left"/>
        <w:rPr>
          <w:rFonts w:ascii="宋体" w:hAnsi="宋体"/>
        </w:rPr>
      </w:pPr>
      <w:r>
        <w:rPr>
          <w:rFonts w:hint="eastAsia" w:ascii="宋体" w:hAnsi="宋体"/>
          <w:kern w:val="0"/>
        </w:rPr>
        <w:t xml:space="preserve">[1]  </w:t>
      </w:r>
      <w:r>
        <w:rPr>
          <w:rFonts w:hint="eastAsia" w:ascii="宋体" w:hAnsi="宋体"/>
        </w:rPr>
        <w:t>GB/T 17412.3-1998 岩石分类和命名方案 变质岩岩石的分类和命名方案</w:t>
      </w:r>
    </w:p>
    <w:p>
      <w:pPr>
        <w:jc w:val="left"/>
        <w:rPr>
          <w:rFonts w:ascii="宋体" w:hAnsi="宋体"/>
        </w:rPr>
      </w:pPr>
      <w:r>
        <w:rPr>
          <w:rFonts w:hint="eastAsia" w:ascii="宋体" w:hAnsi="宋体"/>
          <w:kern w:val="0"/>
        </w:rPr>
        <w:t xml:space="preserve">[2]  </w:t>
      </w:r>
      <w:r>
        <w:rPr>
          <w:rFonts w:hint="eastAsia" w:ascii="宋体" w:hAnsi="宋体"/>
        </w:rPr>
        <w:t>DZ/T 0130.3-2006 地质矿产实验室测试质量管理规范 第3部分：岩石矿物样品化学成分分析</w:t>
      </w:r>
    </w:p>
    <w:p>
      <w:pPr>
        <w:jc w:val="left"/>
        <w:rPr>
          <w:rFonts w:ascii="宋体" w:hAnsi="宋体"/>
        </w:rPr>
      </w:pPr>
      <w:r>
        <w:rPr>
          <w:rFonts w:hint="eastAsia" w:ascii="宋体" w:hAnsi="宋体"/>
          <w:kern w:val="0"/>
        </w:rPr>
        <w:t xml:space="preserve">[3]  </w:t>
      </w:r>
      <w:r>
        <w:rPr>
          <w:rFonts w:hint="eastAsia" w:ascii="宋体" w:hAnsi="宋体"/>
        </w:rPr>
        <w:t>DZ/T 0130.9-2006 地质矿产实验室测试质量管理规范 第9部分：岩石矿物样品鉴定</w:t>
      </w:r>
    </w:p>
    <w:p>
      <w:pPr>
        <w:jc w:val="left"/>
        <w:rPr>
          <w:rFonts w:ascii="宋体" w:hAnsi="宋体"/>
        </w:rPr>
      </w:pPr>
      <w:r>
        <w:rPr>
          <w:rFonts w:hint="eastAsia" w:ascii="宋体" w:hAnsi="宋体"/>
          <w:kern w:val="0"/>
        </w:rPr>
        <w:t xml:space="preserve">[4]  </w:t>
      </w:r>
      <w:r>
        <w:rPr>
          <w:rFonts w:hint="eastAsia" w:ascii="宋体" w:hAnsi="宋体"/>
        </w:rPr>
        <w:t>DZ/T 0275.1-2015 岩矿鉴定技术规范 第1部分：总则及一般规定</w:t>
      </w:r>
    </w:p>
    <w:p>
      <w:pPr>
        <w:widowControl/>
        <w:jc w:val="left"/>
        <w:rPr>
          <w:rFonts w:ascii="宋体" w:hAnsi="宋体"/>
        </w:rPr>
      </w:pPr>
      <w:r>
        <w:rPr>
          <w:rFonts w:hint="eastAsia" w:ascii="宋体" w:hAnsi="宋体"/>
          <w:kern w:val="0"/>
        </w:rPr>
        <w:t xml:space="preserve">[5]  </w:t>
      </w:r>
      <w:r>
        <w:rPr>
          <w:rFonts w:hint="eastAsia" w:ascii="宋体" w:hAnsi="宋体"/>
        </w:rPr>
        <w:t xml:space="preserve">崔文元 等，2002，江苏溧阳透闪石玉的研究，岩石矿物学杂志，第21卷 增刊 </w:t>
      </w:r>
    </w:p>
    <w:p>
      <w:pPr>
        <w:widowControl/>
        <w:jc w:val="left"/>
        <w:rPr>
          <w:rFonts w:ascii="宋体" w:hAnsi="宋体"/>
        </w:rPr>
      </w:pPr>
      <w:r>
        <w:rPr>
          <w:rFonts w:hint="eastAsia" w:ascii="宋体" w:hAnsi="宋体"/>
          <w:kern w:val="0"/>
        </w:rPr>
        <w:t xml:space="preserve">[6]  </w:t>
      </w:r>
      <w:r>
        <w:rPr>
          <w:rFonts w:hint="eastAsia" w:ascii="宋体" w:hAnsi="宋体"/>
          <w:color w:val="000000"/>
          <w:kern w:val="0"/>
        </w:rPr>
        <w:t xml:space="preserve">Bernard E.Leake </w:t>
      </w:r>
      <w:r>
        <w:rPr>
          <w:rFonts w:hint="eastAsia" w:ascii="宋体" w:hAnsi="宋体"/>
          <w:color w:val="292526"/>
          <w:kern w:val="0"/>
        </w:rPr>
        <w:t>et al.,</w:t>
      </w:r>
      <w:r>
        <w:rPr>
          <w:rFonts w:hint="eastAsia" w:ascii="宋体" w:hAnsi="宋体"/>
        </w:rPr>
        <w:t xml:space="preserve">1997，Nomenclature of amphiboles: Report of the subcommittee </w:t>
      </w:r>
    </w:p>
    <w:p>
      <w:pPr>
        <w:widowControl/>
        <w:jc w:val="left"/>
        <w:rPr>
          <w:rFonts w:ascii="宋体" w:hAnsi="宋体"/>
        </w:rPr>
      </w:pPr>
      <w:r>
        <w:rPr>
          <w:rFonts w:hint="eastAsia" w:ascii="宋体" w:hAnsi="宋体"/>
        </w:rPr>
        <w:t>on amphiboles of the international mineralogical association,commission on new minerals and mineral names,The Canadian Mineralogist,Vol.35,pp.219-246</w:t>
      </w:r>
    </w:p>
    <w:bookmarkEnd w:id="88"/>
    <w:p>
      <w:pPr>
        <w:pStyle w:val="42"/>
        <w:ind w:firstLine="0" w:firstLineChars="0"/>
        <w:jc w:val="center"/>
      </w:pPr>
      <w:bookmarkStart w:id="91" w:name="BookMark8"/>
      <w:r>
        <w:drawing>
          <wp:inline distT="0" distB="0" distL="114300" distR="114300">
            <wp:extent cx="1485900" cy="3175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38">
                      <a:lum/>
                    </a:blip>
                    <a:stretch>
                      <a:fillRect/>
                    </a:stretch>
                  </pic:blipFill>
                  <pic:spPr>
                    <a:xfrm>
                      <a:off x="0" y="0"/>
                      <a:ext cx="1485900" cy="317500"/>
                    </a:xfrm>
                    <a:prstGeom prst="rect">
                      <a:avLst/>
                    </a:prstGeom>
                    <a:noFill/>
                    <a:ln>
                      <a:noFill/>
                    </a:ln>
                  </pic:spPr>
                </pic:pic>
              </a:graphicData>
            </a:graphic>
          </wp:inline>
        </w:drawing>
      </w:r>
      <w:bookmarkEnd w:id="91"/>
    </w:p>
    <w:sectPr>
      <w:headerReference r:id="rId29" w:type="default"/>
      <w:footerReference r:id="rId31" w:type="default"/>
      <w:headerReference r:id="rId30" w:type="even"/>
      <w:footerReference r:id="rId32" w:type="even"/>
      <w:pgSz w:w="11906" w:h="16838"/>
      <w:pgMar w:top="1928"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11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5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38"/>
      <w:suff w:val="nothing"/>
      <w:lvlText w:val="%1%2.%3　"/>
      <w:lvlJc w:val="left"/>
      <w:pPr>
        <w:ind w:left="0" w:firstLine="0"/>
      </w:pPr>
    </w:lvl>
    <w:lvl w:ilvl="3" w:tentative="0">
      <w:start w:val="1"/>
      <w:numFmt w:val="decimal"/>
      <w:pStyle w:val="99"/>
      <w:suff w:val="nothing"/>
      <w:lvlText w:val="%1%2.%3.%4　"/>
      <w:lvlJc w:val="left"/>
      <w:pPr>
        <w:ind w:left="0" w:firstLine="0"/>
      </w:pPr>
    </w:lvl>
    <w:lvl w:ilvl="4" w:tentative="0">
      <w:start w:val="1"/>
      <w:numFmt w:val="decimal"/>
      <w:pStyle w:val="132"/>
      <w:suff w:val="nothing"/>
      <w:lvlText w:val="%1%2.%3.%4.%5　"/>
      <w:lvlJc w:val="left"/>
      <w:pPr>
        <w:ind w:left="0" w:firstLine="0"/>
      </w:pPr>
    </w:lvl>
    <w:lvl w:ilvl="5" w:tentative="0">
      <w:start w:val="1"/>
      <w:numFmt w:val="decimal"/>
      <w:pStyle w:val="134"/>
      <w:suff w:val="nothing"/>
      <w:lvlText w:val="%1%2.%3.%4.%5.%6　"/>
      <w:lvlJc w:val="left"/>
      <w:pPr>
        <w:ind w:left="0" w:firstLine="0"/>
      </w:pPr>
    </w:lvl>
    <w:lvl w:ilvl="6" w:tentative="0">
      <w:start w:val="1"/>
      <w:numFmt w:val="decimal"/>
      <w:pStyle w:val="137"/>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5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73"/>
      <w:lvlText w:val="%1"/>
      <w:lvlJc w:val="left"/>
      <w:pPr>
        <w:ind w:left="425" w:hanging="425"/>
      </w:pPr>
      <w:rPr>
        <w:rFonts w:hint="eastAsia"/>
      </w:rPr>
    </w:lvl>
    <w:lvl w:ilvl="1" w:tentative="0">
      <w:start w:val="1"/>
      <w:numFmt w:val="decimal"/>
      <w:pStyle w:val="176"/>
      <w:suff w:val="nothing"/>
      <w:lvlText w:val="%10.%2 "/>
      <w:lvlJc w:val="left"/>
      <w:pPr>
        <w:ind w:left="0" w:firstLine="0"/>
      </w:pPr>
      <w:rPr>
        <w:rFonts w:hint="eastAsia" w:ascii="黑体" w:hAnsi="等线" w:eastAsia="黑体"/>
        <w:b w:val="0"/>
        <w:i w:val="0"/>
        <w:sz w:val="21"/>
      </w:rPr>
    </w:lvl>
    <w:lvl w:ilvl="2" w:tentative="0">
      <w:start w:val="1"/>
      <w:numFmt w:val="decimal"/>
      <w:pStyle w:val="177"/>
      <w:suff w:val="nothing"/>
      <w:lvlText w:val="%10.%2.%3 "/>
      <w:lvlJc w:val="left"/>
      <w:pPr>
        <w:ind w:left="0" w:firstLine="0"/>
      </w:pPr>
      <w:rPr>
        <w:rFonts w:hint="eastAsia" w:ascii="黑体" w:hAnsi="等线" w:eastAsia="黑体"/>
        <w:b w:val="0"/>
        <w:i w:val="0"/>
        <w:sz w:val="21"/>
      </w:rPr>
    </w:lvl>
    <w:lvl w:ilvl="3" w:tentative="0">
      <w:start w:val="1"/>
      <w:numFmt w:val="decimal"/>
      <w:pStyle w:val="178"/>
      <w:suff w:val="nothing"/>
      <w:lvlText w:val="%10.%2.%3.%4 "/>
      <w:lvlJc w:val="left"/>
      <w:pPr>
        <w:ind w:left="0" w:firstLine="0"/>
      </w:pPr>
      <w:rPr>
        <w:rFonts w:hint="eastAsia" w:ascii="黑体" w:hAnsi="等线" w:eastAsia="黑体"/>
        <w:b w:val="0"/>
        <w:i w:val="0"/>
        <w:sz w:val="21"/>
      </w:rPr>
    </w:lvl>
    <w:lvl w:ilvl="4" w:tentative="0">
      <w:start w:val="1"/>
      <w:numFmt w:val="decimal"/>
      <w:pStyle w:val="179"/>
      <w:suff w:val="nothing"/>
      <w:lvlText w:val="%10.%2.%3.%4.%5 "/>
      <w:lvlJc w:val="left"/>
      <w:pPr>
        <w:ind w:left="0" w:firstLine="0"/>
      </w:pPr>
      <w:rPr>
        <w:rFonts w:hint="eastAsia" w:ascii="黑体" w:hAnsi="等线" w:eastAsia="黑体"/>
        <w:b w:val="0"/>
        <w:i w:val="0"/>
        <w:sz w:val="21"/>
      </w:rPr>
    </w:lvl>
    <w:lvl w:ilvl="5" w:tentative="0">
      <w:start w:val="1"/>
      <w:numFmt w:val="decimal"/>
      <w:pStyle w:val="180"/>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60"/>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5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4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9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7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7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1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64"/>
      <w:lvlText w:val=""/>
      <w:lvlJc w:val="left"/>
      <w:pPr>
        <w:ind w:left="851" w:hanging="431"/>
      </w:pPr>
      <w:rPr>
        <w:rFonts w:hint="default" w:ascii="Symbol" w:hAnsi="Symbol"/>
        <w:sz w:val="21"/>
      </w:rPr>
    </w:lvl>
    <w:lvl w:ilvl="2" w:tentative="0">
      <w:start w:val="1"/>
      <w:numFmt w:val="bullet"/>
      <w:pStyle w:val="15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83"/>
      <w:lvlText w:val="%1"/>
      <w:lvlJc w:val="left"/>
      <w:pPr>
        <w:tabs>
          <w:tab w:val="left" w:pos="539"/>
        </w:tabs>
        <w:ind w:left="539" w:hanging="119"/>
      </w:pPr>
      <w:rPr>
        <w:rFonts w:hint="eastAsia"/>
        <w:caps w:val="0"/>
        <w:strike w:val="0"/>
        <w:dstrike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53"/>
      <w:lvlText w:val="%1)"/>
      <w:lvlJc w:val="left"/>
      <w:pPr>
        <w:tabs>
          <w:tab w:val="left" w:pos="851"/>
        </w:tabs>
        <w:ind w:left="851" w:hanging="426"/>
      </w:pPr>
      <w:rPr>
        <w:rFonts w:hint="eastAsia" w:ascii="宋体" w:hAnsi="Times New Roman" w:eastAsia="宋体"/>
        <w:sz w:val="21"/>
      </w:rPr>
    </w:lvl>
    <w:lvl w:ilvl="1" w:tentative="0">
      <w:start w:val="1"/>
      <w:numFmt w:val="decimal"/>
      <w:pStyle w:val="90"/>
      <w:lvlText w:val="%2)"/>
      <w:lvlJc w:val="left"/>
      <w:pPr>
        <w:tabs>
          <w:tab w:val="left" w:pos="1276"/>
        </w:tabs>
        <w:ind w:left="1276" w:hanging="425"/>
      </w:pPr>
      <w:rPr>
        <w:rFonts w:hint="eastAsia" w:ascii="宋体" w:hAnsi="Times New Roman" w:eastAsia="宋体"/>
        <w:sz w:val="21"/>
      </w:rPr>
    </w:lvl>
    <w:lvl w:ilvl="2" w:tentative="0">
      <w:start w:val="1"/>
      <w:numFmt w:val="decimal"/>
      <w:pStyle w:val="9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74"/>
      <w:lvlText w:val="%1"/>
      <w:lvlJc w:val="left"/>
      <w:pPr>
        <w:ind w:left="420" w:hanging="420"/>
      </w:pPr>
      <w:rPr>
        <w:rFonts w:hint="eastAsia"/>
      </w:rPr>
    </w:lvl>
    <w:lvl w:ilvl="1" w:tentative="0">
      <w:start w:val="1"/>
      <w:numFmt w:val="decimal"/>
      <w:pStyle w:val="6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62"/>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BFB2A0F"/>
    <w:multiLevelType w:val="multilevel"/>
    <w:tmpl w:val="4BFB2A0F"/>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4E5D0534"/>
    <w:multiLevelType w:val="multilevel"/>
    <w:tmpl w:val="4E5D0534"/>
    <w:lvl w:ilvl="0" w:tentative="0">
      <w:start w:val="1"/>
      <w:numFmt w:val="decimal"/>
      <w:pStyle w:val="9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7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9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75"/>
      <w:suff w:val="space"/>
      <w:lvlText w:val="%1"/>
      <w:lvlJc w:val="left"/>
      <w:pPr>
        <w:ind w:left="425" w:hanging="425"/>
      </w:pPr>
      <w:rPr>
        <w:rFonts w:hint="eastAsia"/>
      </w:rPr>
    </w:lvl>
    <w:lvl w:ilvl="1" w:tentative="0">
      <w:start w:val="1"/>
      <w:numFmt w:val="decimal"/>
      <w:pStyle w:val="6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9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4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9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66"/>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61"/>
      <w:suff w:val="nothing"/>
      <w:lvlText w:val="附录%1"/>
      <w:lvlJc w:val="left"/>
      <w:pPr>
        <w:ind w:left="0" w:firstLine="0"/>
      </w:pPr>
      <w:rPr>
        <w:rFonts w:hint="eastAsia"/>
        <w:spacing w:val="100"/>
      </w:rPr>
    </w:lvl>
    <w:lvl w:ilvl="1" w:tentative="0">
      <w:start w:val="1"/>
      <w:numFmt w:val="decimal"/>
      <w:pStyle w:val="63"/>
      <w:suff w:val="nothing"/>
      <w:lvlText w:val="%1.%2　"/>
      <w:lvlJc w:val="left"/>
      <w:pPr>
        <w:ind w:left="0" w:firstLine="0"/>
      </w:pPr>
      <w:rPr>
        <w:rFonts w:hint="eastAsia" w:ascii="黑体" w:eastAsia="黑体"/>
        <w:b w:val="0"/>
        <w:i w:val="0"/>
        <w:sz w:val="21"/>
      </w:rPr>
    </w:lvl>
    <w:lvl w:ilvl="2" w:tentative="0">
      <w:start w:val="1"/>
      <w:numFmt w:val="decimal"/>
      <w:pStyle w:val="64"/>
      <w:suff w:val="nothing"/>
      <w:lvlText w:val="%1.%2.%3　"/>
      <w:lvlJc w:val="left"/>
      <w:pPr>
        <w:ind w:left="0" w:firstLine="0"/>
      </w:pPr>
      <w:rPr>
        <w:rFonts w:hint="eastAsia" w:ascii="黑体" w:eastAsia="黑体"/>
        <w:b w:val="0"/>
        <w:i w:val="0"/>
        <w:sz w:val="21"/>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67"/>
      <w:suff w:val="nothing"/>
      <w:lvlText w:val="%1.%2.%3.%4.%5　"/>
      <w:lvlJc w:val="left"/>
      <w:pPr>
        <w:ind w:left="0" w:firstLine="0"/>
      </w:pPr>
      <w:rPr>
        <w:rFonts w:hint="eastAsia" w:ascii="黑体" w:eastAsia="黑体"/>
        <w:b w:val="0"/>
        <w:i w:val="0"/>
        <w:sz w:val="21"/>
      </w:rPr>
    </w:lvl>
    <w:lvl w:ilvl="5" w:tentative="0">
      <w:start w:val="1"/>
      <w:numFmt w:val="decimal"/>
      <w:pStyle w:val="6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65"/>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8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5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31"/>
      <w:suff w:val="nothing"/>
      <w:lvlText w:val="%1"/>
      <w:lvlJc w:val="left"/>
      <w:pPr>
        <w:ind w:left="0" w:firstLine="0"/>
      </w:pPr>
      <w:rPr>
        <w:rFonts w:hint="eastAsia"/>
      </w:rPr>
    </w:lvl>
    <w:lvl w:ilvl="1" w:tentative="0">
      <w:start w:val="1"/>
      <w:numFmt w:val="decimal"/>
      <w:pStyle w:val="85"/>
      <w:suff w:val="nothing"/>
      <w:lvlText w:val="%1%2　"/>
      <w:lvlJc w:val="left"/>
      <w:pPr>
        <w:ind w:left="0" w:firstLine="0"/>
      </w:pPr>
      <w:rPr>
        <w:rFonts w:hint="eastAsia" w:ascii="黑体" w:eastAsia="黑体"/>
        <w:b w:val="0"/>
        <w:i w:val="0"/>
        <w:sz w:val="21"/>
      </w:rPr>
    </w:lvl>
    <w:lvl w:ilvl="2" w:tentative="0">
      <w:start w:val="1"/>
      <w:numFmt w:val="decimal"/>
      <w:pStyle w:val="8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color w:val="000000"/>
        <w:spacing w:val="0"/>
        <w:kern w:val="0"/>
        <w:position w:val="0"/>
        <w:sz w:val="21"/>
        <w:u w:val="none"/>
      </w:rPr>
    </w:lvl>
    <w:lvl w:ilvl="3" w:tentative="0">
      <w:start w:val="1"/>
      <w:numFmt w:val="decimal"/>
      <w:pStyle w:val="51"/>
      <w:suff w:val="nothing"/>
      <w:lvlText w:val="%1%2.%3.%4　"/>
      <w:lvlJc w:val="left"/>
      <w:pPr>
        <w:ind w:left="0" w:firstLine="0"/>
      </w:pPr>
      <w:rPr>
        <w:rFonts w:hint="eastAsia" w:ascii="黑体" w:eastAsia="黑体"/>
        <w:b w:val="0"/>
        <w:i w:val="0"/>
        <w:sz w:val="21"/>
      </w:rPr>
    </w:lvl>
    <w:lvl w:ilvl="4" w:tentative="0">
      <w:start w:val="1"/>
      <w:numFmt w:val="decimal"/>
      <w:pStyle w:val="78"/>
      <w:suff w:val="nothing"/>
      <w:lvlText w:val="%1%2.%3.%4.%5　"/>
      <w:lvlJc w:val="left"/>
      <w:pPr>
        <w:ind w:left="0" w:firstLine="0"/>
      </w:pPr>
      <w:rPr>
        <w:rFonts w:hint="eastAsia" w:ascii="黑体" w:eastAsia="黑体"/>
        <w:b w:val="0"/>
        <w:i w:val="0"/>
        <w:sz w:val="21"/>
      </w:rPr>
    </w:lvl>
    <w:lvl w:ilvl="5" w:tentative="0">
      <w:start w:val="1"/>
      <w:numFmt w:val="decimal"/>
      <w:pStyle w:val="81"/>
      <w:suff w:val="nothing"/>
      <w:lvlText w:val="%1%2.%3.%4.%5.%6　"/>
      <w:lvlJc w:val="left"/>
      <w:pPr>
        <w:ind w:left="0" w:firstLine="0"/>
      </w:pPr>
      <w:rPr>
        <w:rFonts w:hint="eastAsia" w:ascii="黑体" w:eastAsia="黑体"/>
        <w:b w:val="0"/>
        <w:i w:val="0"/>
        <w:sz w:val="21"/>
      </w:rPr>
    </w:lvl>
    <w:lvl w:ilvl="6" w:tentative="0">
      <w:start w:val="1"/>
      <w:numFmt w:val="decimal"/>
      <w:pStyle w:val="8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5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9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1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dit="forms" w:enforcement="1" w:cryptProviderType="rsaAES" w:cryptAlgorithmClass="hash" w:cryptAlgorithmType="typeAny" w:cryptAlgorithmSid="14" w:cryptSpinCount="100000" w:hash="lDiVfb+zoDm6BQZdACKVnYkvNh2lCU5DJdgcJ222YvyKIaHfZo/4ixwbpZqNj73ETX2cv+yondgeAHxuetf9Dg==" w:salt="2n2FDoug4pErDqDPmuAbXw=="/>
  <w:defaultTabStop w:val="420"/>
  <w:evenAndOddHeaders w:val="1"/>
  <w:drawingGridHorizontalSpacing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NGNkZjkwZDBmNWUwM2E2OTM0YjM5ZGU0MDZjMjQifQ=="/>
  </w:docVars>
  <w:rsids>
    <w:rsidRoot w:val="000A1009"/>
    <w:rsid w:val="000A1009"/>
    <w:rsid w:val="00710729"/>
    <w:rsid w:val="00890E33"/>
    <w:rsid w:val="00B97A5E"/>
    <w:rsid w:val="00F302F5"/>
    <w:rsid w:val="041322F0"/>
    <w:rsid w:val="073C209E"/>
    <w:rsid w:val="08236132"/>
    <w:rsid w:val="10D16395"/>
    <w:rsid w:val="138778C2"/>
    <w:rsid w:val="1D104A7F"/>
    <w:rsid w:val="27BF2794"/>
    <w:rsid w:val="2A5C415F"/>
    <w:rsid w:val="319B4E07"/>
    <w:rsid w:val="31CD0F1F"/>
    <w:rsid w:val="33F16F60"/>
    <w:rsid w:val="343862AC"/>
    <w:rsid w:val="3A3C5DFD"/>
    <w:rsid w:val="3D29384D"/>
    <w:rsid w:val="3E0C2BE9"/>
    <w:rsid w:val="44A653E3"/>
    <w:rsid w:val="45C8234C"/>
    <w:rsid w:val="49E36EF3"/>
    <w:rsid w:val="5A734438"/>
    <w:rsid w:val="5C7E17E4"/>
    <w:rsid w:val="5ECF24F0"/>
    <w:rsid w:val="642D103F"/>
    <w:rsid w:val="6A5103A2"/>
    <w:rsid w:val="6BA93342"/>
    <w:rsid w:val="6E1D3C25"/>
    <w:rsid w:val="6EEB2223"/>
    <w:rsid w:val="6F1B2B08"/>
    <w:rsid w:val="73896C8E"/>
    <w:rsid w:val="763C3E8B"/>
    <w:rsid w:val="7ADB49C6"/>
    <w:rsid w:val="7C6E660D"/>
    <w:rsid w:val="7D4D4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20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07"/>
    <w:qFormat/>
    <w:uiPriority w:val="0"/>
    <w:pPr>
      <w:keepNext/>
      <w:keepLines/>
      <w:spacing w:before="260" w:after="260" w:line="416" w:lineRule="auto"/>
      <w:outlineLvl w:val="2"/>
    </w:pPr>
    <w:rPr>
      <w:b/>
      <w:bCs/>
      <w:sz w:val="32"/>
      <w:szCs w:val="32"/>
    </w:rPr>
  </w:style>
  <w:style w:type="paragraph" w:styleId="5">
    <w:name w:val="heading 4"/>
    <w:basedOn w:val="1"/>
    <w:next w:val="1"/>
    <w:link w:val="20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21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21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21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213"/>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220"/>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216"/>
    <w:semiHidden/>
    <w:unhideWhenUsed/>
    <w:qFormat/>
    <w:uiPriority w:val="99"/>
    <w:rPr>
      <w:sz w:val="18"/>
      <w:szCs w:val="18"/>
    </w:rPr>
  </w:style>
  <w:style w:type="paragraph" w:styleId="17">
    <w:name w:val="footer"/>
    <w:basedOn w:val="1"/>
    <w:link w:val="21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21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22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21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rPr>
  </w:style>
  <w:style w:type="character" w:styleId="33">
    <w:name w:val="footnote reference"/>
    <w:semiHidden/>
    <w:qFormat/>
    <w:uiPriority w:val="0"/>
    <w:rPr>
      <w:rFonts w:ascii="宋体" w:hAnsi="宋体" w:eastAsia="宋体" w:cs="Times New Roman"/>
      <w:spacing w:val="0"/>
      <w:sz w:val="18"/>
      <w:vertAlign w:val="superscript"/>
    </w:rPr>
  </w:style>
  <w:style w:type="paragraph" w:customStyle="1" w:styleId="34">
    <w:name w:val="引用1"/>
    <w:basedOn w:val="1"/>
    <w:next w:val="1"/>
    <w:link w:val="217"/>
    <w:qFormat/>
    <w:uiPriority w:val="29"/>
    <w:rPr>
      <w:i/>
      <w:iCs/>
      <w:color w:val="000000"/>
    </w:rPr>
  </w:style>
  <w:style w:type="paragraph" w:customStyle="1" w:styleId="3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3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39">
    <w:name w:val="标准书眉一"/>
    <w:qFormat/>
    <w:uiPriority w:val="0"/>
    <w:pPr>
      <w:jc w:val="both"/>
    </w:pPr>
    <w:rPr>
      <w:rFonts w:ascii="Times New Roman" w:hAnsi="Times New Roman" w:eastAsia="宋体" w:cs="Times New Roman"/>
      <w:lang w:val="en-US" w:eastAsia="zh-CN" w:bidi="ar-SA"/>
    </w:rPr>
  </w:style>
  <w:style w:type="paragraph" w:customStyle="1" w:styleId="40">
    <w:name w:val="标准文件_ICS"/>
    <w:basedOn w:val="1"/>
    <w:qFormat/>
    <w:uiPriority w:val="0"/>
    <w:pPr>
      <w:spacing w:line="0" w:lineRule="atLeast"/>
    </w:pPr>
    <w:rPr>
      <w:rFonts w:ascii="黑体" w:hAnsi="宋体" w:eastAsia="黑体"/>
    </w:rPr>
  </w:style>
  <w:style w:type="paragraph" w:customStyle="1" w:styleId="41">
    <w:name w:val="标准文件_标准正文"/>
    <w:basedOn w:val="1"/>
    <w:next w:val="42"/>
    <w:qFormat/>
    <w:uiPriority w:val="0"/>
    <w:pPr>
      <w:snapToGrid w:val="0"/>
      <w:ind w:firstLine="200" w:firstLineChars="200"/>
    </w:pPr>
    <w:rPr>
      <w:kern w:val="0"/>
    </w:rPr>
  </w:style>
  <w:style w:type="paragraph" w:customStyle="1" w:styleId="42">
    <w:name w:val="标准文件_段"/>
    <w:link w:val="22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3">
    <w:name w:val="标准文件_版本"/>
    <w:basedOn w:val="41"/>
    <w:qFormat/>
    <w:uiPriority w:val="0"/>
    <w:pPr>
      <w:adjustRightInd/>
      <w:snapToGrid/>
      <w:ind w:firstLine="0" w:firstLineChars="0"/>
    </w:pPr>
    <w:rPr>
      <w:rFonts w:ascii="宋体" w:hAnsi="宋体"/>
      <w:kern w:val="2"/>
    </w:rPr>
  </w:style>
  <w:style w:type="paragraph" w:customStyle="1" w:styleId="44">
    <w:name w:val="标准文件_标准部门"/>
    <w:basedOn w:val="1"/>
    <w:qFormat/>
    <w:uiPriority w:val="0"/>
    <w:pPr>
      <w:jc w:val="center"/>
    </w:pPr>
    <w:rPr>
      <w:rFonts w:ascii="黑体" w:eastAsia="黑体"/>
      <w:kern w:val="0"/>
      <w:sz w:val="44"/>
    </w:rPr>
  </w:style>
  <w:style w:type="paragraph" w:customStyle="1" w:styleId="45">
    <w:name w:val="标准文件_标准代替"/>
    <w:basedOn w:val="1"/>
    <w:next w:val="1"/>
    <w:qFormat/>
    <w:uiPriority w:val="0"/>
    <w:pPr>
      <w:spacing w:line="310" w:lineRule="exact"/>
      <w:jc w:val="right"/>
    </w:pPr>
    <w:rPr>
      <w:rFonts w:ascii="宋体" w:hAnsi="宋体"/>
      <w:kern w:val="0"/>
    </w:rPr>
  </w:style>
  <w:style w:type="paragraph" w:customStyle="1" w:styleId="4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4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8">
    <w:name w:val="标准文件_页眉偶数页"/>
    <w:basedOn w:val="47"/>
    <w:next w:val="1"/>
    <w:qFormat/>
    <w:uiPriority w:val="0"/>
    <w:pPr>
      <w:jc w:val="left"/>
    </w:pPr>
  </w:style>
  <w:style w:type="paragraph" w:customStyle="1" w:styleId="49">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5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51">
    <w:name w:val="标准文件_二级条标题"/>
    <w:next w:val="42"/>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52">
    <w:name w:val="标准文件_方框数字列项"/>
    <w:basedOn w:val="42"/>
    <w:qFormat/>
    <w:uiPriority w:val="0"/>
    <w:pPr>
      <w:numPr>
        <w:ilvl w:val="0"/>
        <w:numId w:val="3"/>
      </w:numPr>
      <w:ind w:firstLine="0" w:firstLineChars="0"/>
    </w:pPr>
  </w:style>
  <w:style w:type="paragraph" w:customStyle="1" w:styleId="53">
    <w:name w:val="标准文件_封面标准编号"/>
    <w:basedOn w:val="1"/>
    <w:next w:val="45"/>
    <w:qFormat/>
    <w:uiPriority w:val="0"/>
    <w:pPr>
      <w:spacing w:line="310" w:lineRule="exact"/>
      <w:jc w:val="right"/>
    </w:pPr>
    <w:rPr>
      <w:rFonts w:ascii="黑体" w:eastAsia="黑体"/>
      <w:kern w:val="0"/>
      <w:sz w:val="28"/>
    </w:rPr>
  </w:style>
  <w:style w:type="paragraph" w:customStyle="1" w:styleId="54">
    <w:name w:val="标准文件_封面标准分类号"/>
    <w:basedOn w:val="1"/>
    <w:qFormat/>
    <w:uiPriority w:val="0"/>
    <w:rPr>
      <w:rFonts w:ascii="黑体" w:eastAsia="黑体"/>
      <w:b/>
      <w:kern w:val="0"/>
      <w:sz w:val="28"/>
    </w:rPr>
  </w:style>
  <w:style w:type="paragraph" w:customStyle="1" w:styleId="55">
    <w:name w:val="标准文件_封面标准名称"/>
    <w:basedOn w:val="1"/>
    <w:qFormat/>
    <w:uiPriority w:val="0"/>
    <w:pPr>
      <w:spacing w:line="240" w:lineRule="auto"/>
      <w:jc w:val="center"/>
    </w:pPr>
    <w:rPr>
      <w:rFonts w:ascii="黑体" w:eastAsia="黑体"/>
      <w:kern w:val="0"/>
      <w:sz w:val="52"/>
    </w:rPr>
  </w:style>
  <w:style w:type="paragraph" w:customStyle="1" w:styleId="56">
    <w:name w:val="标准文件_封面标准英文名称"/>
    <w:basedOn w:val="1"/>
    <w:qFormat/>
    <w:uiPriority w:val="0"/>
    <w:pPr>
      <w:spacing w:line="240" w:lineRule="auto"/>
      <w:jc w:val="center"/>
    </w:pPr>
    <w:rPr>
      <w:rFonts w:ascii="黑体" w:eastAsia="黑体"/>
      <w:b/>
      <w:sz w:val="28"/>
    </w:rPr>
  </w:style>
  <w:style w:type="paragraph" w:customStyle="1" w:styleId="57">
    <w:name w:val="标准文件_封面发布日期"/>
    <w:basedOn w:val="1"/>
    <w:qFormat/>
    <w:uiPriority w:val="0"/>
    <w:pPr>
      <w:spacing w:line="310" w:lineRule="exact"/>
    </w:pPr>
    <w:rPr>
      <w:rFonts w:ascii="黑体" w:eastAsia="黑体"/>
      <w:kern w:val="0"/>
      <w:sz w:val="28"/>
    </w:rPr>
  </w:style>
  <w:style w:type="paragraph" w:customStyle="1" w:styleId="58">
    <w:name w:val="标准文件_封面密级"/>
    <w:basedOn w:val="1"/>
    <w:qFormat/>
    <w:uiPriority w:val="0"/>
    <w:rPr>
      <w:rFonts w:eastAsia="黑体"/>
      <w:sz w:val="32"/>
    </w:rPr>
  </w:style>
  <w:style w:type="paragraph" w:customStyle="1" w:styleId="59">
    <w:name w:val="标准文件_封面实施日期"/>
    <w:basedOn w:val="1"/>
    <w:qFormat/>
    <w:uiPriority w:val="0"/>
    <w:pPr>
      <w:spacing w:line="310" w:lineRule="exact"/>
      <w:jc w:val="right"/>
    </w:pPr>
    <w:rPr>
      <w:rFonts w:ascii="黑体" w:eastAsia="黑体"/>
      <w:sz w:val="28"/>
    </w:rPr>
  </w:style>
  <w:style w:type="paragraph" w:customStyle="1" w:styleId="60">
    <w:name w:val="标准文件_封面抬头"/>
    <w:basedOn w:val="42"/>
    <w:qFormat/>
    <w:uiPriority w:val="0"/>
    <w:pPr>
      <w:adjustRightInd w:val="0"/>
      <w:spacing w:line="800" w:lineRule="exact"/>
      <w:ind w:firstLine="0" w:firstLineChars="0"/>
      <w:jc w:val="distribute"/>
    </w:pPr>
    <w:rPr>
      <w:rFonts w:ascii="黑体" w:eastAsia="黑体"/>
      <w:b/>
      <w:sz w:val="64"/>
    </w:rPr>
  </w:style>
  <w:style w:type="paragraph" w:customStyle="1" w:styleId="61">
    <w:name w:val="标准文件_附录标识"/>
    <w:next w:val="42"/>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62">
    <w:name w:val="标准文件_附录表标题"/>
    <w:next w:val="42"/>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63">
    <w:name w:val="标准文件_附录一级条标题"/>
    <w:next w:val="42"/>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64">
    <w:name w:val="标准文件_附录二级条标题"/>
    <w:basedOn w:val="63"/>
    <w:next w:val="42"/>
    <w:qFormat/>
    <w:uiPriority w:val="0"/>
    <w:pPr>
      <w:widowControl/>
      <w:numPr>
        <w:ilvl w:val="2"/>
      </w:numPr>
      <w:wordWrap w:val="0"/>
      <w:overflowPunct w:val="0"/>
      <w:autoSpaceDE w:val="0"/>
      <w:autoSpaceDN w:val="0"/>
      <w:textAlignment w:val="baseline"/>
      <w:outlineLvl w:val="3"/>
    </w:pPr>
  </w:style>
  <w:style w:type="paragraph" w:customStyle="1" w:styleId="65">
    <w:name w:val="标准文件_附录公式"/>
    <w:basedOn w:val="41"/>
    <w:next w:val="4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66">
    <w:name w:val="标准文件_附录三级条标题"/>
    <w:next w:val="42"/>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67">
    <w:name w:val="标准文件_附录四级条标题"/>
    <w:next w:val="42"/>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68">
    <w:name w:val="标准文件_附录图标题"/>
    <w:next w:val="42"/>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69">
    <w:name w:val="标准文件_附录五级条标题"/>
    <w:next w:val="42"/>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70">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71">
    <w:name w:val="标准文件_附录章标题"/>
    <w:next w:val="4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2">
    <w:name w:val="标准文件_公式后的破折号"/>
    <w:basedOn w:val="42"/>
    <w:next w:val="42"/>
    <w:qFormat/>
    <w:uiPriority w:val="0"/>
    <w:pPr>
      <w:ind w:left="488" w:leftChars="200" w:hanging="289" w:hangingChars="290"/>
    </w:pPr>
  </w:style>
  <w:style w:type="paragraph" w:customStyle="1" w:styleId="73">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74">
    <w:name w:val="标准文件_目次、标准名称标题"/>
    <w:basedOn w:val="73"/>
    <w:next w:val="42"/>
    <w:qFormat/>
    <w:uiPriority w:val="0"/>
    <w:pPr>
      <w:spacing w:line="460" w:lineRule="exact"/>
      <w:ind w:left="0" w:firstLine="0"/>
    </w:pPr>
  </w:style>
  <w:style w:type="paragraph" w:customStyle="1" w:styleId="75">
    <w:name w:val="标准文件_目录标题"/>
    <w:basedOn w:val="1"/>
    <w:qFormat/>
    <w:uiPriority w:val="0"/>
    <w:pPr>
      <w:spacing w:before="480" w:afterLines="150" w:line="240" w:lineRule="auto"/>
      <w:jc w:val="center"/>
    </w:pPr>
    <w:rPr>
      <w:rFonts w:ascii="黑体" w:eastAsia="黑体"/>
      <w:sz w:val="32"/>
    </w:rPr>
  </w:style>
  <w:style w:type="paragraph" w:customStyle="1" w:styleId="7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77">
    <w:name w:val="标准文件_破折号列项（二级）"/>
    <w:basedOn w:val="76"/>
    <w:qFormat/>
    <w:uiPriority w:val="0"/>
    <w:pPr>
      <w:numPr>
        <w:numId w:val="10"/>
      </w:numPr>
    </w:pPr>
  </w:style>
  <w:style w:type="paragraph" w:customStyle="1" w:styleId="78">
    <w:name w:val="标准文件_三级条标题"/>
    <w:basedOn w:val="51"/>
    <w:next w:val="42"/>
    <w:qFormat/>
    <w:uiPriority w:val="0"/>
    <w:pPr>
      <w:widowControl/>
      <w:numPr>
        <w:ilvl w:val="4"/>
      </w:numPr>
      <w:outlineLvl w:val="3"/>
    </w:pPr>
  </w:style>
  <w:style w:type="paragraph" w:customStyle="1" w:styleId="79">
    <w:name w:val="标准文件_示例后续"/>
    <w:basedOn w:val="1"/>
    <w:qFormat/>
    <w:uiPriority w:val="0"/>
    <w:pPr>
      <w:adjustRightInd/>
      <w:spacing w:line="240" w:lineRule="auto"/>
      <w:ind w:firstLine="200" w:firstLineChars="200"/>
    </w:pPr>
    <w:rPr>
      <w:sz w:val="18"/>
      <w:szCs w:val="24"/>
    </w:rPr>
  </w:style>
  <w:style w:type="paragraph" w:customStyle="1" w:styleId="8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81">
    <w:name w:val="标准文件_四级条标题"/>
    <w:next w:val="42"/>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8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83">
    <w:name w:val="标准文件_图表脚注"/>
    <w:basedOn w:val="1"/>
    <w:next w:val="42"/>
    <w:qFormat/>
    <w:uiPriority w:val="0"/>
    <w:pPr>
      <w:numPr>
        <w:ilvl w:val="0"/>
        <w:numId w:val="12"/>
      </w:numPr>
      <w:spacing w:line="240" w:lineRule="auto"/>
      <w:jc w:val="left"/>
    </w:pPr>
    <w:rPr>
      <w:rFonts w:ascii="宋体" w:hAnsi="宋体"/>
      <w:sz w:val="18"/>
    </w:rPr>
  </w:style>
  <w:style w:type="paragraph" w:customStyle="1" w:styleId="84">
    <w:name w:val="标准文件_五级条标题"/>
    <w:next w:val="42"/>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85">
    <w:name w:val="标准文件_章标题"/>
    <w:next w:val="42"/>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86">
    <w:name w:val="标准文件_一级条标题"/>
    <w:basedOn w:val="85"/>
    <w:next w:val="42"/>
    <w:qFormat/>
    <w:uiPriority w:val="0"/>
    <w:pPr>
      <w:numPr>
        <w:ilvl w:val="2"/>
      </w:numPr>
      <w:spacing w:beforeLines="50" w:afterLines="50"/>
      <w:outlineLvl w:val="1"/>
    </w:pPr>
  </w:style>
  <w:style w:type="paragraph" w:customStyle="1" w:styleId="87">
    <w:name w:val="标准文件_一致程度"/>
    <w:basedOn w:val="1"/>
    <w:qFormat/>
    <w:uiPriority w:val="0"/>
    <w:pPr>
      <w:spacing w:line="440" w:lineRule="exact"/>
      <w:jc w:val="center"/>
    </w:pPr>
    <w:rPr>
      <w:sz w:val="28"/>
    </w:rPr>
  </w:style>
  <w:style w:type="paragraph" w:customStyle="1" w:styleId="8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89">
    <w:name w:val="标准文件_英文图表脚注"/>
    <w:basedOn w:val="41"/>
    <w:qFormat/>
    <w:uiPriority w:val="0"/>
    <w:pPr>
      <w:widowControl/>
      <w:adjustRightInd/>
      <w:snapToGrid/>
      <w:spacing w:line="240" w:lineRule="auto"/>
      <w:ind w:left="79" w:hanging="79" w:hangingChars="80"/>
    </w:pPr>
    <w:rPr>
      <w:rFonts w:ascii="宋体" w:hAnsi="宋体"/>
    </w:rPr>
  </w:style>
  <w:style w:type="paragraph" w:customStyle="1" w:styleId="9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91">
    <w:name w:val="标准文件_英文注："/>
    <w:basedOn w:val="1"/>
    <w:next w:val="42"/>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9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93">
    <w:name w:val="标准文件_正文表标题"/>
    <w:next w:val="42"/>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94">
    <w:name w:val="标准文件_正文公式"/>
    <w:basedOn w:val="1"/>
    <w:next w:val="41"/>
    <w:qFormat/>
    <w:uiPriority w:val="0"/>
    <w:pPr>
      <w:tabs>
        <w:tab w:val="center" w:pos="4678"/>
        <w:tab w:val="right" w:leader="middleDot" w:pos="9356"/>
      </w:tabs>
      <w:spacing w:line="240" w:lineRule="auto"/>
    </w:pPr>
    <w:rPr>
      <w:rFonts w:ascii="宋体" w:hAnsi="宋体"/>
    </w:rPr>
  </w:style>
  <w:style w:type="paragraph" w:customStyle="1" w:styleId="95">
    <w:name w:val="标准文件_正文图标题"/>
    <w:next w:val="42"/>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96">
    <w:name w:val="标准文件_正文英文表标题"/>
    <w:next w:val="42"/>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97">
    <w:name w:val="标准文件_正文英文图标题"/>
    <w:next w:val="42"/>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9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9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00">
    <w:name w:val="发布部门"/>
    <w:next w:val="42"/>
    <w:qFormat/>
    <w:uiPriority w:val="0"/>
    <w:pPr>
      <w:jc w:val="center"/>
    </w:pPr>
    <w:rPr>
      <w:rFonts w:ascii="宋体" w:hAnsi="Times New Roman" w:eastAsia="宋体" w:cs="Times New Roman"/>
      <w:b/>
      <w:w w:val="135"/>
      <w:sz w:val="36"/>
      <w:lang w:val="en-US" w:eastAsia="zh-CN" w:bidi="ar-SA"/>
    </w:rPr>
  </w:style>
  <w:style w:type="paragraph" w:customStyle="1" w:styleId="101">
    <w:name w:val="发布日期"/>
    <w:qFormat/>
    <w:uiPriority w:val="0"/>
    <w:rPr>
      <w:rFonts w:ascii="Times New Roman" w:hAnsi="Times New Roman" w:eastAsia="黑体" w:cs="Times New Roman"/>
      <w:sz w:val="28"/>
      <w:lang w:val="en-US" w:eastAsia="zh-CN" w:bidi="ar-SA"/>
    </w:rPr>
  </w:style>
  <w:style w:type="paragraph" w:customStyle="1" w:styleId="102">
    <w:name w:val="封面标准代替信息"/>
    <w:basedOn w:val="1"/>
    <w:qFormat/>
    <w:uiPriority w:val="0"/>
    <w:pPr>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0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0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0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08">
    <w:name w:val="封面正文"/>
    <w:qFormat/>
    <w:uiPriority w:val="0"/>
    <w:pPr>
      <w:jc w:val="both"/>
    </w:pPr>
    <w:rPr>
      <w:rFonts w:ascii="Times New Roman" w:hAnsi="Times New Roman" w:eastAsia="宋体" w:cs="Times New Roman"/>
      <w:lang w:val="en-US" w:eastAsia="zh-CN" w:bidi="ar-SA"/>
    </w:rPr>
  </w:style>
  <w:style w:type="paragraph" w:customStyle="1" w:styleId="109">
    <w:name w:val="附录二级无标题条"/>
    <w:basedOn w:val="1"/>
    <w:next w:val="42"/>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10">
    <w:name w:val="附录三级无标题条"/>
    <w:basedOn w:val="109"/>
    <w:next w:val="42"/>
    <w:qFormat/>
    <w:uiPriority w:val="0"/>
    <w:pPr>
      <w:outlineLvl w:val="4"/>
    </w:pPr>
  </w:style>
  <w:style w:type="paragraph" w:customStyle="1" w:styleId="111">
    <w:name w:val="附录四级无标题条"/>
    <w:basedOn w:val="110"/>
    <w:next w:val="42"/>
    <w:qFormat/>
    <w:uiPriority w:val="0"/>
    <w:pPr>
      <w:outlineLvl w:val="5"/>
    </w:pPr>
  </w:style>
  <w:style w:type="paragraph" w:customStyle="1" w:styleId="112">
    <w:name w:val="附录图"/>
    <w:next w:val="42"/>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1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14">
    <w:name w:val="附录五级无标题条"/>
    <w:basedOn w:val="111"/>
    <w:next w:val="42"/>
    <w:qFormat/>
    <w:uiPriority w:val="0"/>
    <w:pPr>
      <w:outlineLvl w:val="6"/>
    </w:pPr>
  </w:style>
  <w:style w:type="paragraph" w:customStyle="1" w:styleId="115">
    <w:name w:val="附录性质"/>
    <w:basedOn w:val="1"/>
    <w:qFormat/>
    <w:uiPriority w:val="0"/>
    <w:pPr>
      <w:widowControl/>
      <w:adjustRightInd/>
      <w:jc w:val="center"/>
    </w:pPr>
    <w:rPr>
      <w:rFonts w:ascii="黑体" w:eastAsia="黑体"/>
    </w:rPr>
  </w:style>
  <w:style w:type="paragraph" w:customStyle="1" w:styleId="116">
    <w:name w:val="附录一级无标题条"/>
    <w:basedOn w:val="71"/>
    <w:next w:val="42"/>
    <w:qFormat/>
    <w:uiPriority w:val="0"/>
    <w:pPr>
      <w:autoSpaceDN w:val="0"/>
      <w:outlineLvl w:val="2"/>
    </w:pPr>
    <w:rPr>
      <w:rFonts w:ascii="宋体" w:hAnsi="宋体" w:eastAsia="宋体"/>
    </w:rPr>
  </w:style>
  <w:style w:type="paragraph" w:customStyle="1" w:styleId="117">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18">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19">
    <w:name w:val="列项·"/>
    <w:basedOn w:val="42"/>
    <w:qFormat/>
    <w:uiPriority w:val="0"/>
    <w:pPr>
      <w:tabs>
        <w:tab w:val="left" w:pos="840"/>
      </w:tabs>
    </w:pPr>
  </w:style>
  <w:style w:type="paragraph" w:customStyle="1" w:styleId="12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1">
    <w:name w:val="目录 21"/>
    <w:basedOn w:val="1"/>
    <w:next w:val="1"/>
    <w:semiHidden/>
    <w:qFormat/>
    <w:uiPriority w:val="0"/>
    <w:pPr>
      <w:adjustRightInd/>
      <w:spacing w:line="240" w:lineRule="auto"/>
      <w:jc w:val="left"/>
    </w:pPr>
    <w:rPr>
      <w:bCs/>
      <w:iCs/>
    </w:rPr>
  </w:style>
  <w:style w:type="paragraph" w:customStyle="1" w:styleId="122">
    <w:name w:val="目录 31"/>
    <w:basedOn w:val="1"/>
    <w:next w:val="1"/>
    <w:semiHidden/>
    <w:qFormat/>
    <w:uiPriority w:val="0"/>
    <w:pPr>
      <w:spacing w:line="240" w:lineRule="auto"/>
    </w:pPr>
    <w:rPr>
      <w:rFonts w:ascii="宋体" w:hAnsi="宋体"/>
      <w:iCs/>
    </w:rPr>
  </w:style>
  <w:style w:type="paragraph" w:customStyle="1" w:styleId="123">
    <w:name w:val="目录 41"/>
    <w:basedOn w:val="1"/>
    <w:next w:val="1"/>
    <w:semiHidden/>
    <w:qFormat/>
    <w:uiPriority w:val="0"/>
    <w:pPr>
      <w:adjustRightInd/>
      <w:spacing w:line="240" w:lineRule="auto"/>
      <w:jc w:val="left"/>
    </w:pPr>
  </w:style>
  <w:style w:type="paragraph" w:customStyle="1" w:styleId="124">
    <w:name w:val="目录 51"/>
    <w:basedOn w:val="1"/>
    <w:next w:val="1"/>
    <w:semiHidden/>
    <w:qFormat/>
    <w:uiPriority w:val="0"/>
    <w:pPr>
      <w:spacing w:line="240" w:lineRule="auto"/>
    </w:pPr>
    <w:rPr>
      <w:rFonts w:ascii="宋体" w:hAnsi="宋体"/>
    </w:rPr>
  </w:style>
  <w:style w:type="paragraph" w:customStyle="1" w:styleId="125">
    <w:name w:val="目录 61"/>
    <w:basedOn w:val="1"/>
    <w:next w:val="1"/>
    <w:semiHidden/>
    <w:qFormat/>
    <w:uiPriority w:val="0"/>
    <w:pPr>
      <w:adjustRightInd/>
      <w:spacing w:line="240" w:lineRule="auto"/>
      <w:jc w:val="left"/>
    </w:pPr>
  </w:style>
  <w:style w:type="paragraph" w:customStyle="1" w:styleId="126">
    <w:name w:val="目录 71"/>
    <w:basedOn w:val="125"/>
    <w:semiHidden/>
    <w:qFormat/>
    <w:uiPriority w:val="0"/>
    <w:pPr>
      <w:ind w:left="1260"/>
    </w:pPr>
  </w:style>
  <w:style w:type="paragraph" w:customStyle="1" w:styleId="127">
    <w:name w:val="目录 81"/>
    <w:basedOn w:val="126"/>
    <w:semiHidden/>
    <w:qFormat/>
    <w:uiPriority w:val="0"/>
    <w:pPr>
      <w:ind w:left="1470"/>
    </w:pPr>
  </w:style>
  <w:style w:type="paragraph" w:customStyle="1" w:styleId="128">
    <w:name w:val="目录 91"/>
    <w:basedOn w:val="127"/>
    <w:semiHidden/>
    <w:qFormat/>
    <w:uiPriority w:val="0"/>
    <w:pPr>
      <w:ind w:left="1680"/>
    </w:pPr>
  </w:style>
  <w:style w:type="paragraph" w:customStyle="1" w:styleId="12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0">
    <w:name w:val="其他发布部门"/>
    <w:basedOn w:val="100"/>
    <w:qFormat/>
    <w:uiPriority w:val="0"/>
    <w:pPr>
      <w:spacing w:line="0" w:lineRule="atLeast"/>
    </w:pPr>
    <w:rPr>
      <w:rFonts w:ascii="黑体" w:eastAsia="黑体"/>
      <w:b w:val="0"/>
    </w:rPr>
  </w:style>
  <w:style w:type="paragraph" w:customStyle="1" w:styleId="131">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2">
    <w:name w:val="三级无标题条"/>
    <w:basedOn w:val="1"/>
    <w:qFormat/>
    <w:uiPriority w:val="0"/>
    <w:pPr>
      <w:numPr>
        <w:ilvl w:val="4"/>
        <w:numId w:val="20"/>
      </w:numPr>
      <w:adjustRightInd/>
      <w:spacing w:line="240" w:lineRule="auto"/>
    </w:pPr>
    <w:rPr>
      <w:rFonts w:ascii="宋体" w:hAnsi="宋体"/>
      <w:szCs w:val="24"/>
    </w:rPr>
  </w:style>
  <w:style w:type="paragraph" w:customStyle="1" w:styleId="133">
    <w:name w:val="实施日期"/>
    <w:basedOn w:val="101"/>
    <w:qFormat/>
    <w:uiPriority w:val="0"/>
    <w:pPr>
      <w:jc w:val="right"/>
    </w:pPr>
  </w:style>
  <w:style w:type="paragraph" w:customStyle="1" w:styleId="134">
    <w:name w:val="四级无标题条"/>
    <w:basedOn w:val="1"/>
    <w:qFormat/>
    <w:uiPriority w:val="0"/>
    <w:pPr>
      <w:numPr>
        <w:ilvl w:val="5"/>
        <w:numId w:val="20"/>
      </w:numPr>
      <w:adjustRightInd/>
      <w:spacing w:line="240" w:lineRule="auto"/>
    </w:pPr>
    <w:rPr>
      <w:rFonts w:ascii="宋体" w:hAnsi="宋体"/>
      <w:szCs w:val="24"/>
    </w:rPr>
  </w:style>
  <w:style w:type="paragraph" w:customStyle="1" w:styleId="135">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36">
    <w:name w:val="无标题条"/>
    <w:next w:val="42"/>
    <w:qFormat/>
    <w:uiPriority w:val="0"/>
    <w:pPr>
      <w:jc w:val="both"/>
    </w:pPr>
    <w:rPr>
      <w:rFonts w:ascii="宋体" w:hAnsi="宋体" w:eastAsia="宋体" w:cs="Times New Roman"/>
      <w:sz w:val="21"/>
      <w:lang w:val="en-US" w:eastAsia="zh-CN" w:bidi="ar-SA"/>
    </w:rPr>
  </w:style>
  <w:style w:type="paragraph" w:customStyle="1" w:styleId="137">
    <w:name w:val="五级无标题条"/>
    <w:basedOn w:val="1"/>
    <w:qFormat/>
    <w:uiPriority w:val="0"/>
    <w:pPr>
      <w:numPr>
        <w:ilvl w:val="6"/>
        <w:numId w:val="20"/>
      </w:numPr>
      <w:adjustRightInd/>
    </w:pPr>
    <w:rPr>
      <w:szCs w:val="24"/>
    </w:rPr>
  </w:style>
  <w:style w:type="paragraph" w:customStyle="1" w:styleId="138">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39">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40">
    <w:name w:val="注×:后续"/>
    <w:basedOn w:val="139"/>
    <w:qFormat/>
    <w:uiPriority w:val="0"/>
    <w:pPr>
      <w:ind w:left="1406" w:leftChars="0" w:hanging="499" w:firstLineChars="0"/>
    </w:pPr>
  </w:style>
  <w:style w:type="paragraph" w:customStyle="1" w:styleId="141">
    <w:name w:val="标准文件_一级无标题"/>
    <w:basedOn w:val="86"/>
    <w:qFormat/>
    <w:uiPriority w:val="0"/>
    <w:pPr>
      <w:outlineLvl w:val="9"/>
    </w:pPr>
    <w:rPr>
      <w:rFonts w:ascii="宋体" w:eastAsia="宋体"/>
    </w:rPr>
  </w:style>
  <w:style w:type="paragraph" w:customStyle="1" w:styleId="142">
    <w:name w:val="标准文件_五级无标题"/>
    <w:basedOn w:val="84"/>
    <w:qFormat/>
    <w:uiPriority w:val="0"/>
    <w:pPr>
      <w:outlineLvl w:val="9"/>
    </w:pPr>
    <w:rPr>
      <w:rFonts w:ascii="宋体" w:eastAsia="宋体"/>
    </w:rPr>
  </w:style>
  <w:style w:type="paragraph" w:customStyle="1" w:styleId="143">
    <w:name w:val="标准文件_三级无标题"/>
    <w:basedOn w:val="78"/>
    <w:qFormat/>
    <w:uiPriority w:val="0"/>
    <w:pPr>
      <w:outlineLvl w:val="9"/>
    </w:pPr>
    <w:rPr>
      <w:rFonts w:ascii="宋体" w:eastAsia="宋体"/>
    </w:rPr>
  </w:style>
  <w:style w:type="paragraph" w:customStyle="1" w:styleId="144">
    <w:name w:val="标准文件_二级无标题"/>
    <w:basedOn w:val="51"/>
    <w:qFormat/>
    <w:uiPriority w:val="0"/>
    <w:pPr>
      <w:outlineLvl w:val="9"/>
    </w:pPr>
    <w:rPr>
      <w:rFonts w:ascii="宋体" w:eastAsia="宋体"/>
    </w:rPr>
  </w:style>
  <w:style w:type="paragraph" w:customStyle="1" w:styleId="145">
    <w:name w:val="标准_四级无标题"/>
    <w:basedOn w:val="81"/>
    <w:next w:val="42"/>
    <w:qFormat/>
    <w:uiPriority w:val="0"/>
    <w:rPr>
      <w:rFonts w:eastAsia="宋体"/>
    </w:rPr>
  </w:style>
  <w:style w:type="paragraph" w:customStyle="1" w:styleId="146">
    <w:name w:val="标准文件_四级无标题"/>
    <w:basedOn w:val="81"/>
    <w:qFormat/>
    <w:uiPriority w:val="0"/>
    <w:pPr>
      <w:outlineLvl w:val="9"/>
    </w:pPr>
    <w:rPr>
      <w:rFonts w:ascii="宋体" w:hAnsi="黑体" w:eastAsia="宋体"/>
      <w:szCs w:val="52"/>
    </w:rPr>
  </w:style>
  <w:style w:type="paragraph" w:customStyle="1" w:styleId="147">
    <w:name w:val="标准文件_大写罗马数字编号列项"/>
    <w:basedOn w:val="42"/>
    <w:qFormat/>
    <w:uiPriority w:val="0"/>
    <w:pPr>
      <w:numPr>
        <w:ilvl w:val="0"/>
        <w:numId w:val="23"/>
      </w:numPr>
      <w:ind w:firstLine="0" w:firstLineChars="0"/>
    </w:pPr>
    <w:rPr>
      <w:rFonts w:ascii="Times New Roman" w:cs="Arial"/>
      <w:szCs w:val="28"/>
    </w:rPr>
  </w:style>
  <w:style w:type="paragraph" w:customStyle="1" w:styleId="148">
    <w:name w:val="标准文件_小写罗马数字编号列项"/>
    <w:basedOn w:val="42"/>
    <w:qFormat/>
    <w:uiPriority w:val="0"/>
    <w:pPr>
      <w:numPr>
        <w:ilvl w:val="0"/>
        <w:numId w:val="24"/>
      </w:numPr>
      <w:ind w:firstLine="0" w:firstLineChars="0"/>
    </w:pPr>
    <w:rPr>
      <w:rFonts w:cs="Arial"/>
      <w:szCs w:val="28"/>
    </w:rPr>
  </w:style>
  <w:style w:type="paragraph" w:customStyle="1" w:styleId="149">
    <w:name w:val="标准文件_附录标题"/>
    <w:basedOn w:val="61"/>
    <w:qFormat/>
    <w:uiPriority w:val="0"/>
    <w:pPr>
      <w:numPr>
        <w:numId w:val="0"/>
      </w:numPr>
      <w:outlineLvl w:val="9"/>
    </w:pPr>
  </w:style>
  <w:style w:type="paragraph" w:customStyle="1" w:styleId="150">
    <w:name w:val="标准文件_二级项"/>
    <w:qFormat/>
    <w:uiPriority w:val="0"/>
    <w:rPr>
      <w:rFonts w:ascii="宋体" w:hAnsi="Times New Roman" w:eastAsia="宋体" w:cs="Times New Roman"/>
      <w:sz w:val="21"/>
      <w:lang w:val="en-US" w:eastAsia="zh-CN" w:bidi="ar-SA"/>
    </w:rPr>
  </w:style>
  <w:style w:type="paragraph" w:customStyle="1" w:styleId="151">
    <w:name w:val="标准文件_三级项"/>
    <w:basedOn w:val="1"/>
    <w:qFormat/>
    <w:uiPriority w:val="0"/>
    <w:pPr>
      <w:numPr>
        <w:ilvl w:val="2"/>
        <w:numId w:val="21"/>
      </w:numPr>
      <w:tabs>
        <w:tab w:val="left" w:pos="851"/>
      </w:tabs>
      <w:spacing w:line="300" w:lineRule="exact"/>
    </w:pPr>
    <w:rPr>
      <w:rFonts w:ascii="Times New Roman" w:hAnsi="Times New Roman"/>
    </w:rPr>
  </w:style>
  <w:style w:type="paragraph" w:customStyle="1" w:styleId="152">
    <w:name w:val="图表脚注说明"/>
    <w:basedOn w:val="1"/>
    <w:next w:val="42"/>
    <w:qFormat/>
    <w:uiPriority w:val="0"/>
    <w:pPr>
      <w:numPr>
        <w:ilvl w:val="0"/>
        <w:numId w:val="25"/>
      </w:numPr>
      <w:adjustRightInd/>
      <w:spacing w:line="240" w:lineRule="auto"/>
    </w:pPr>
    <w:rPr>
      <w:rFonts w:ascii="宋体" w:hAnsi="Times New Roman"/>
      <w:sz w:val="18"/>
      <w:szCs w:val="18"/>
    </w:rPr>
  </w:style>
  <w:style w:type="paragraph" w:customStyle="1" w:styleId="153">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54">
    <w:name w:val="标准文件_索引字母"/>
    <w:next w:val="42"/>
    <w:qFormat/>
    <w:uiPriority w:val="0"/>
    <w:pPr>
      <w:jc w:val="center"/>
    </w:pPr>
    <w:rPr>
      <w:rFonts w:ascii="宋体" w:hAnsi="宋体" w:eastAsia="Times New Roman" w:cs="Times New Roman"/>
      <w:b/>
      <w:kern w:val="2"/>
      <w:sz w:val="21"/>
      <w:lang w:val="en-US" w:eastAsia="zh-CN" w:bidi="ar-SA"/>
    </w:rPr>
  </w:style>
  <w:style w:type="paragraph" w:customStyle="1" w:styleId="155">
    <w:name w:val="标准文件_附录前"/>
    <w:next w:val="42"/>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56">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57">
    <w:name w:val="标准文件_表格"/>
    <w:basedOn w:val="42"/>
    <w:qFormat/>
    <w:uiPriority w:val="0"/>
    <w:pPr>
      <w:ind w:firstLine="0" w:firstLineChars="0"/>
      <w:jc w:val="center"/>
    </w:pPr>
    <w:rPr>
      <w:sz w:val="18"/>
    </w:rPr>
  </w:style>
  <w:style w:type="paragraph" w:customStyle="1" w:styleId="158">
    <w:name w:val="标准文件_注："/>
    <w:next w:val="42"/>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59">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60">
    <w:name w:val="标准文件_示例："/>
    <w:next w:val="161"/>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61">
    <w:name w:val="标准文件_示例内容"/>
    <w:basedOn w:val="42"/>
    <w:qFormat/>
    <w:uiPriority w:val="0"/>
    <w:pPr>
      <w:ind w:firstLine="420"/>
    </w:pPr>
    <w:rPr>
      <w:sz w:val="18"/>
    </w:rPr>
  </w:style>
  <w:style w:type="paragraph" w:customStyle="1" w:styleId="162">
    <w:name w:val="标准文件_示例×："/>
    <w:basedOn w:val="1"/>
    <w:next w:val="161"/>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63">
    <w:name w:val="标准文件_表格续"/>
    <w:basedOn w:val="42"/>
    <w:next w:val="42"/>
    <w:qFormat/>
    <w:uiPriority w:val="0"/>
    <w:pPr>
      <w:jc w:val="center"/>
    </w:pPr>
    <w:rPr>
      <w:rFonts w:ascii="黑体" w:hAnsi="黑体" w:eastAsia="黑体"/>
    </w:rPr>
  </w:style>
  <w:style w:type="paragraph" w:customStyle="1" w:styleId="164">
    <w:name w:val="标准文件_二级项2"/>
    <w:basedOn w:val="42"/>
    <w:qFormat/>
    <w:uiPriority w:val="0"/>
    <w:pPr>
      <w:numPr>
        <w:ilvl w:val="1"/>
        <w:numId w:val="21"/>
      </w:numPr>
      <w:tabs>
        <w:tab w:val="left" w:pos="851"/>
      </w:tabs>
      <w:ind w:firstLine="0" w:firstLineChars="0"/>
    </w:pPr>
  </w:style>
  <w:style w:type="paragraph" w:customStyle="1" w:styleId="165">
    <w:name w:val="标准文件_三级项2"/>
    <w:basedOn w:val="42"/>
    <w:qFormat/>
    <w:uiPriority w:val="0"/>
    <w:pPr>
      <w:numPr>
        <w:ilvl w:val="0"/>
        <w:numId w:val="30"/>
      </w:numPr>
      <w:spacing w:line="300" w:lineRule="exact"/>
      <w:ind w:firstLineChars="0"/>
    </w:pPr>
    <w:rPr>
      <w:rFonts w:ascii="Times New Roman"/>
    </w:rPr>
  </w:style>
  <w:style w:type="paragraph" w:customStyle="1" w:styleId="166">
    <w:name w:val="标准文件_一级项2"/>
    <w:basedOn w:val="42"/>
    <w:qFormat/>
    <w:uiPriority w:val="0"/>
    <w:pPr>
      <w:numPr>
        <w:ilvl w:val="0"/>
        <w:numId w:val="31"/>
      </w:numPr>
      <w:spacing w:line="300" w:lineRule="exact"/>
      <w:ind w:firstLineChars="0"/>
    </w:pPr>
    <w:rPr>
      <w:rFonts w:ascii="Times New Roman"/>
    </w:rPr>
  </w:style>
  <w:style w:type="paragraph" w:customStyle="1" w:styleId="167">
    <w:name w:val="标准文件_提示"/>
    <w:basedOn w:val="42"/>
    <w:next w:val="42"/>
    <w:qFormat/>
    <w:uiPriority w:val="0"/>
    <w:pPr>
      <w:ind w:firstLine="420"/>
    </w:pPr>
    <w:rPr>
      <w:rFonts w:ascii="黑体" w:eastAsia="黑体"/>
    </w:rPr>
  </w:style>
  <w:style w:type="paragraph" w:customStyle="1" w:styleId="168">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69">
    <w:name w:val="其他发布日期"/>
    <w:basedOn w:val="101"/>
    <w:qFormat/>
    <w:uiPriority w:val="0"/>
  </w:style>
  <w:style w:type="paragraph" w:customStyle="1" w:styleId="170">
    <w:name w:val="其他实施日期"/>
    <w:basedOn w:val="133"/>
    <w:qFormat/>
    <w:uiPriority w:val="0"/>
  </w:style>
  <w:style w:type="paragraph" w:customStyle="1" w:styleId="171">
    <w:name w:val="标准文件_文件编号"/>
    <w:basedOn w:val="42"/>
    <w:qFormat/>
    <w:uiPriority w:val="0"/>
    <w:pPr>
      <w:wordWrap w:val="0"/>
      <w:spacing w:line="280" w:lineRule="exact"/>
      <w:ind w:firstLine="0" w:firstLineChars="0"/>
      <w:jc w:val="right"/>
    </w:pPr>
    <w:rPr>
      <w:rFonts w:ascii="黑体" w:eastAsia="黑体"/>
      <w:bCs/>
      <w:sz w:val="28"/>
      <w:szCs w:val="28"/>
    </w:rPr>
  </w:style>
  <w:style w:type="paragraph" w:customStyle="1" w:styleId="172">
    <w:name w:val="标准文件_替换文件编号"/>
    <w:basedOn w:val="171"/>
    <w:qFormat/>
    <w:uiPriority w:val="0"/>
    <w:pPr>
      <w:spacing w:before="57"/>
    </w:pPr>
    <w:rPr>
      <w:sz w:val="21"/>
    </w:rPr>
  </w:style>
  <w:style w:type="paragraph" w:customStyle="1" w:styleId="173">
    <w:name w:val="标准文件_文件名称"/>
    <w:basedOn w:val="42"/>
    <w:next w:val="42"/>
    <w:qFormat/>
    <w:uiPriority w:val="0"/>
    <w:pPr>
      <w:spacing w:line="700" w:lineRule="exact"/>
      <w:ind w:firstLine="0" w:firstLineChars="0"/>
      <w:jc w:val="center"/>
    </w:pPr>
    <w:rPr>
      <w:rFonts w:ascii="黑体" w:hAnsi="黑体" w:eastAsia="黑体"/>
      <w:bCs/>
      <w:sz w:val="52"/>
    </w:rPr>
  </w:style>
  <w:style w:type="paragraph" w:customStyle="1" w:styleId="174">
    <w:name w:val="标准文件_附录图标号"/>
    <w:basedOn w:val="42"/>
    <w:next w:val="42"/>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75">
    <w:name w:val="标准文件_附录表标号"/>
    <w:basedOn w:val="42"/>
    <w:next w:val="42"/>
    <w:qFormat/>
    <w:uiPriority w:val="0"/>
    <w:pPr>
      <w:numPr>
        <w:ilvl w:val="0"/>
        <w:numId w:val="5"/>
      </w:numPr>
      <w:spacing w:line="14" w:lineRule="exact"/>
      <w:ind w:firstLine="0" w:firstLineChars="0"/>
      <w:jc w:val="center"/>
    </w:pPr>
    <w:rPr>
      <w:rFonts w:eastAsia="黑体"/>
      <w:vanish/>
      <w:sz w:val="2"/>
    </w:rPr>
  </w:style>
  <w:style w:type="paragraph" w:customStyle="1" w:styleId="176">
    <w:name w:val="标准文件_引言一级条标题"/>
    <w:basedOn w:val="42"/>
    <w:next w:val="42"/>
    <w:qFormat/>
    <w:uiPriority w:val="0"/>
    <w:pPr>
      <w:numPr>
        <w:ilvl w:val="1"/>
        <w:numId w:val="8"/>
      </w:numPr>
      <w:spacing w:beforeLines="50" w:afterLines="50"/>
      <w:ind w:firstLineChars="0"/>
    </w:pPr>
    <w:rPr>
      <w:rFonts w:ascii="黑体" w:eastAsia="黑体"/>
    </w:rPr>
  </w:style>
  <w:style w:type="paragraph" w:customStyle="1" w:styleId="177">
    <w:name w:val="标准文件_引言二级条标题"/>
    <w:basedOn w:val="42"/>
    <w:next w:val="42"/>
    <w:qFormat/>
    <w:uiPriority w:val="0"/>
    <w:pPr>
      <w:numPr>
        <w:ilvl w:val="2"/>
        <w:numId w:val="8"/>
      </w:numPr>
      <w:spacing w:beforeLines="50" w:afterLines="50"/>
      <w:ind w:firstLineChars="0"/>
    </w:pPr>
    <w:rPr>
      <w:rFonts w:ascii="黑体" w:eastAsia="黑体"/>
    </w:rPr>
  </w:style>
  <w:style w:type="paragraph" w:customStyle="1" w:styleId="178">
    <w:name w:val="标准文件_引言三级条标题"/>
    <w:basedOn w:val="42"/>
    <w:next w:val="42"/>
    <w:qFormat/>
    <w:uiPriority w:val="0"/>
    <w:pPr>
      <w:numPr>
        <w:ilvl w:val="3"/>
        <w:numId w:val="8"/>
      </w:numPr>
      <w:spacing w:beforeLines="50" w:afterLines="50"/>
      <w:ind w:firstLineChars="0"/>
    </w:pPr>
    <w:rPr>
      <w:rFonts w:ascii="黑体" w:eastAsia="黑体"/>
    </w:rPr>
  </w:style>
  <w:style w:type="paragraph" w:customStyle="1" w:styleId="179">
    <w:name w:val="标准文件_引言四级条标题"/>
    <w:basedOn w:val="42"/>
    <w:next w:val="42"/>
    <w:qFormat/>
    <w:uiPriority w:val="0"/>
    <w:pPr>
      <w:numPr>
        <w:ilvl w:val="4"/>
        <w:numId w:val="8"/>
      </w:numPr>
      <w:spacing w:beforeLines="50" w:afterLines="50"/>
      <w:ind w:firstLineChars="0"/>
    </w:pPr>
    <w:rPr>
      <w:rFonts w:ascii="黑体" w:eastAsia="黑体"/>
    </w:rPr>
  </w:style>
  <w:style w:type="paragraph" w:customStyle="1" w:styleId="180">
    <w:name w:val="标准文件_引言五级条标题"/>
    <w:basedOn w:val="42"/>
    <w:next w:val="42"/>
    <w:qFormat/>
    <w:uiPriority w:val="0"/>
    <w:pPr>
      <w:numPr>
        <w:ilvl w:val="5"/>
        <w:numId w:val="8"/>
      </w:numPr>
      <w:spacing w:beforeLines="50" w:afterLines="50"/>
      <w:ind w:firstLineChars="0"/>
    </w:pPr>
    <w:rPr>
      <w:rFonts w:ascii="黑体" w:eastAsia="黑体"/>
    </w:rPr>
  </w:style>
  <w:style w:type="paragraph" w:customStyle="1" w:styleId="181">
    <w:name w:val="标准文件_注后"/>
    <w:basedOn w:val="42"/>
    <w:qFormat/>
    <w:uiPriority w:val="0"/>
    <w:pPr>
      <w:ind w:left="811" w:firstLine="0" w:firstLineChars="0"/>
    </w:pPr>
    <w:rPr>
      <w:sz w:val="18"/>
    </w:rPr>
  </w:style>
  <w:style w:type="paragraph" w:customStyle="1" w:styleId="182">
    <w:name w:val="标准文件_注X后"/>
    <w:basedOn w:val="42"/>
    <w:qFormat/>
    <w:uiPriority w:val="0"/>
    <w:pPr>
      <w:ind w:left="811" w:firstLine="0" w:firstLineChars="0"/>
    </w:pPr>
    <w:rPr>
      <w:sz w:val="18"/>
    </w:rPr>
  </w:style>
  <w:style w:type="paragraph" w:customStyle="1" w:styleId="183">
    <w:name w:val="标准文件_示例后"/>
    <w:basedOn w:val="42"/>
    <w:qFormat/>
    <w:uiPriority w:val="0"/>
    <w:pPr>
      <w:ind w:left="964" w:firstLine="0" w:firstLineChars="0"/>
    </w:pPr>
    <w:rPr>
      <w:sz w:val="18"/>
    </w:rPr>
  </w:style>
  <w:style w:type="paragraph" w:customStyle="1" w:styleId="184">
    <w:name w:val="标准文件_示例X后"/>
    <w:basedOn w:val="42"/>
    <w:link w:val="229"/>
    <w:qFormat/>
    <w:uiPriority w:val="0"/>
    <w:pPr>
      <w:ind w:left="1049" w:firstLine="0" w:firstLineChars="0"/>
    </w:pPr>
    <w:rPr>
      <w:sz w:val="18"/>
    </w:rPr>
  </w:style>
  <w:style w:type="paragraph" w:customStyle="1" w:styleId="185">
    <w:name w:val="标准文件_索引项"/>
    <w:basedOn w:val="42"/>
    <w:next w:val="42"/>
    <w:qFormat/>
    <w:uiPriority w:val="0"/>
    <w:pPr>
      <w:tabs>
        <w:tab w:val="right" w:leader="dot" w:pos="9356"/>
      </w:tabs>
      <w:ind w:left="210" w:hanging="210" w:firstLineChars="0"/>
      <w:jc w:val="left"/>
    </w:pPr>
  </w:style>
  <w:style w:type="paragraph" w:customStyle="1" w:styleId="186">
    <w:name w:val="标准文件_附录一级无标题"/>
    <w:basedOn w:val="63"/>
    <w:qFormat/>
    <w:uiPriority w:val="0"/>
    <w:pPr>
      <w:spacing w:line="276" w:lineRule="auto"/>
      <w:outlineLvl w:val="9"/>
    </w:pPr>
    <w:rPr>
      <w:rFonts w:ascii="宋体" w:eastAsia="宋体"/>
    </w:rPr>
  </w:style>
  <w:style w:type="paragraph" w:customStyle="1" w:styleId="187">
    <w:name w:val="标准文件_附录二级无标题"/>
    <w:basedOn w:val="64"/>
    <w:qFormat/>
    <w:uiPriority w:val="0"/>
    <w:pPr>
      <w:spacing w:line="276" w:lineRule="auto"/>
      <w:outlineLvl w:val="9"/>
    </w:pPr>
    <w:rPr>
      <w:rFonts w:ascii="宋体" w:eastAsia="宋体"/>
    </w:rPr>
  </w:style>
  <w:style w:type="paragraph" w:customStyle="1" w:styleId="188">
    <w:name w:val="标准文件_附录三级无标题"/>
    <w:basedOn w:val="66"/>
    <w:qFormat/>
    <w:uiPriority w:val="0"/>
    <w:pPr>
      <w:spacing w:line="276" w:lineRule="auto"/>
      <w:outlineLvl w:val="9"/>
    </w:pPr>
    <w:rPr>
      <w:rFonts w:ascii="宋体" w:eastAsia="宋体"/>
    </w:rPr>
  </w:style>
  <w:style w:type="paragraph" w:customStyle="1" w:styleId="189">
    <w:name w:val="标准文件_附录四级无标题"/>
    <w:basedOn w:val="67"/>
    <w:qFormat/>
    <w:uiPriority w:val="0"/>
    <w:pPr>
      <w:spacing w:line="276" w:lineRule="auto"/>
      <w:outlineLvl w:val="9"/>
    </w:pPr>
    <w:rPr>
      <w:rFonts w:ascii="宋体" w:eastAsia="宋体"/>
    </w:rPr>
  </w:style>
  <w:style w:type="paragraph" w:customStyle="1" w:styleId="190">
    <w:name w:val="标准文件_附录五级无标题"/>
    <w:basedOn w:val="69"/>
    <w:qFormat/>
    <w:uiPriority w:val="0"/>
    <w:pPr>
      <w:spacing w:line="276" w:lineRule="auto"/>
      <w:outlineLvl w:val="9"/>
    </w:pPr>
    <w:rPr>
      <w:rFonts w:ascii="宋体" w:eastAsia="宋体"/>
    </w:rPr>
  </w:style>
  <w:style w:type="paragraph" w:customStyle="1" w:styleId="191">
    <w:name w:val="标准文件_引言一级无标题"/>
    <w:basedOn w:val="176"/>
    <w:next w:val="42"/>
    <w:qFormat/>
    <w:uiPriority w:val="0"/>
    <w:pPr>
      <w:spacing w:line="276" w:lineRule="auto"/>
    </w:pPr>
    <w:rPr>
      <w:rFonts w:ascii="宋体" w:eastAsia="宋体"/>
    </w:rPr>
  </w:style>
  <w:style w:type="paragraph" w:customStyle="1" w:styleId="192">
    <w:name w:val="标准文件_引言二级无标题"/>
    <w:basedOn w:val="177"/>
    <w:next w:val="42"/>
    <w:qFormat/>
    <w:uiPriority w:val="0"/>
    <w:pPr>
      <w:spacing w:line="276" w:lineRule="auto"/>
    </w:pPr>
    <w:rPr>
      <w:rFonts w:ascii="宋体" w:eastAsia="宋体"/>
    </w:rPr>
  </w:style>
  <w:style w:type="paragraph" w:customStyle="1" w:styleId="193">
    <w:name w:val="标准文件_引言三级无标题"/>
    <w:basedOn w:val="178"/>
    <w:qFormat/>
    <w:uiPriority w:val="0"/>
    <w:pPr>
      <w:spacing w:line="276" w:lineRule="auto"/>
    </w:pPr>
    <w:rPr>
      <w:rFonts w:ascii="宋体" w:eastAsia="宋体"/>
    </w:rPr>
  </w:style>
  <w:style w:type="paragraph" w:customStyle="1" w:styleId="194">
    <w:name w:val="标准文件_引言四级无标题"/>
    <w:basedOn w:val="179"/>
    <w:next w:val="42"/>
    <w:qFormat/>
    <w:uiPriority w:val="0"/>
    <w:pPr>
      <w:spacing w:line="276" w:lineRule="auto"/>
    </w:pPr>
    <w:rPr>
      <w:rFonts w:ascii="宋体" w:eastAsia="宋体"/>
    </w:rPr>
  </w:style>
  <w:style w:type="paragraph" w:customStyle="1" w:styleId="195">
    <w:name w:val="标准文件_引言五级无标题"/>
    <w:basedOn w:val="180"/>
    <w:next w:val="42"/>
    <w:qFormat/>
    <w:uiPriority w:val="0"/>
    <w:pPr>
      <w:spacing w:line="276" w:lineRule="auto"/>
    </w:pPr>
    <w:rPr>
      <w:rFonts w:ascii="宋体" w:eastAsia="宋体"/>
    </w:rPr>
  </w:style>
  <w:style w:type="paragraph" w:customStyle="1" w:styleId="196">
    <w:name w:val="标准文件_索引标题"/>
    <w:basedOn w:val="49"/>
    <w:next w:val="42"/>
    <w:qFormat/>
    <w:uiPriority w:val="0"/>
    <w:rPr>
      <w:rFonts w:hAnsi="黑体"/>
    </w:rPr>
  </w:style>
  <w:style w:type="paragraph" w:customStyle="1" w:styleId="197">
    <w:name w:val="标准文件_脚注内容"/>
    <w:basedOn w:val="42"/>
    <w:qFormat/>
    <w:uiPriority w:val="0"/>
    <w:pPr>
      <w:ind w:left="400" w:leftChars="200" w:hanging="200" w:hangingChars="200"/>
    </w:pPr>
    <w:rPr>
      <w:sz w:val="15"/>
    </w:rPr>
  </w:style>
  <w:style w:type="paragraph" w:customStyle="1" w:styleId="198">
    <w:name w:val="标准文件_术语条一"/>
    <w:basedOn w:val="141"/>
    <w:next w:val="42"/>
    <w:qFormat/>
    <w:uiPriority w:val="0"/>
  </w:style>
  <w:style w:type="paragraph" w:customStyle="1" w:styleId="199">
    <w:name w:val="标准文件_术语条二"/>
    <w:basedOn w:val="144"/>
    <w:next w:val="42"/>
    <w:qFormat/>
    <w:uiPriority w:val="0"/>
  </w:style>
  <w:style w:type="paragraph" w:customStyle="1" w:styleId="200">
    <w:name w:val="标准文件_术语条三"/>
    <w:basedOn w:val="143"/>
    <w:next w:val="42"/>
    <w:qFormat/>
    <w:uiPriority w:val="0"/>
  </w:style>
  <w:style w:type="paragraph" w:customStyle="1" w:styleId="201">
    <w:name w:val="标准文件_术语条四"/>
    <w:basedOn w:val="146"/>
    <w:next w:val="42"/>
    <w:qFormat/>
    <w:uiPriority w:val="0"/>
  </w:style>
  <w:style w:type="paragraph" w:customStyle="1" w:styleId="202">
    <w:name w:val="标准文件_术语条五"/>
    <w:basedOn w:val="142"/>
    <w:next w:val="42"/>
    <w:qFormat/>
    <w:uiPriority w:val="0"/>
  </w:style>
  <w:style w:type="paragraph" w:customStyle="1" w:styleId="20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4">
    <w:name w:val="段"/>
    <w:basedOn w:val="1"/>
    <w:qFormat/>
    <w:uiPriority w:val="0"/>
    <w:pPr>
      <w:widowControl/>
      <w:autoSpaceDE w:val="0"/>
      <w:autoSpaceDN w:val="0"/>
      <w:adjustRightInd/>
      <w:spacing w:line="240" w:lineRule="auto"/>
      <w:ind w:firstLine="420" w:firstLineChars="200"/>
    </w:pPr>
    <w:rPr>
      <w:rFonts w:ascii="宋体" w:hAnsi="Times New Roman" w:cs="Calibri"/>
      <w:kern w:val="0"/>
    </w:rPr>
  </w:style>
  <w:style w:type="character" w:customStyle="1" w:styleId="205">
    <w:name w:val="标题 1 字符"/>
    <w:link w:val="2"/>
    <w:qFormat/>
    <w:uiPriority w:val="0"/>
    <w:rPr>
      <w:b/>
      <w:bCs/>
      <w:kern w:val="44"/>
      <w:sz w:val="44"/>
      <w:szCs w:val="44"/>
    </w:rPr>
  </w:style>
  <w:style w:type="character" w:customStyle="1" w:styleId="206">
    <w:name w:val="标题 2 字符"/>
    <w:link w:val="3"/>
    <w:qFormat/>
    <w:uiPriority w:val="0"/>
    <w:rPr>
      <w:rFonts w:ascii="Arial" w:hAnsi="Arial" w:eastAsia="黑体"/>
      <w:b/>
      <w:bCs/>
      <w:kern w:val="2"/>
      <w:sz w:val="32"/>
      <w:szCs w:val="32"/>
    </w:rPr>
  </w:style>
  <w:style w:type="character" w:customStyle="1" w:styleId="207">
    <w:name w:val="标题 3 字符"/>
    <w:link w:val="4"/>
    <w:qFormat/>
    <w:uiPriority w:val="0"/>
    <w:rPr>
      <w:b/>
      <w:bCs/>
      <w:kern w:val="2"/>
      <w:sz w:val="32"/>
      <w:szCs w:val="32"/>
    </w:rPr>
  </w:style>
  <w:style w:type="character" w:customStyle="1" w:styleId="208">
    <w:name w:val="标题 4 字符"/>
    <w:link w:val="5"/>
    <w:qFormat/>
    <w:uiPriority w:val="0"/>
    <w:rPr>
      <w:rFonts w:ascii="Arial" w:hAnsi="Arial" w:eastAsia="黑体"/>
      <w:b/>
      <w:bCs/>
      <w:kern w:val="2"/>
      <w:sz w:val="28"/>
      <w:szCs w:val="28"/>
    </w:rPr>
  </w:style>
  <w:style w:type="character" w:customStyle="1" w:styleId="209">
    <w:name w:val="标题 5 字符"/>
    <w:link w:val="6"/>
    <w:qFormat/>
    <w:uiPriority w:val="0"/>
    <w:rPr>
      <w:b/>
      <w:bCs/>
      <w:kern w:val="2"/>
      <w:sz w:val="28"/>
      <w:szCs w:val="28"/>
    </w:rPr>
  </w:style>
  <w:style w:type="character" w:customStyle="1" w:styleId="210">
    <w:name w:val="标题 6 字符"/>
    <w:link w:val="7"/>
    <w:qFormat/>
    <w:uiPriority w:val="0"/>
    <w:rPr>
      <w:rFonts w:ascii="Arial" w:hAnsi="Arial" w:eastAsia="黑体"/>
      <w:b/>
      <w:bCs/>
      <w:kern w:val="2"/>
      <w:sz w:val="24"/>
      <w:szCs w:val="24"/>
    </w:rPr>
  </w:style>
  <w:style w:type="character" w:customStyle="1" w:styleId="211">
    <w:name w:val="标题 7 字符"/>
    <w:link w:val="8"/>
    <w:qFormat/>
    <w:uiPriority w:val="0"/>
    <w:rPr>
      <w:b/>
      <w:bCs/>
      <w:kern w:val="2"/>
      <w:sz w:val="24"/>
      <w:szCs w:val="24"/>
    </w:rPr>
  </w:style>
  <w:style w:type="character" w:customStyle="1" w:styleId="212">
    <w:name w:val="标题 8 字符"/>
    <w:link w:val="9"/>
    <w:qFormat/>
    <w:uiPriority w:val="0"/>
    <w:rPr>
      <w:rFonts w:ascii="Arial" w:hAnsi="Arial" w:eastAsia="黑体"/>
      <w:kern w:val="2"/>
      <w:sz w:val="24"/>
      <w:szCs w:val="24"/>
    </w:rPr>
  </w:style>
  <w:style w:type="character" w:customStyle="1" w:styleId="213">
    <w:name w:val="标题 9 字符"/>
    <w:link w:val="10"/>
    <w:qFormat/>
    <w:uiPriority w:val="0"/>
    <w:rPr>
      <w:rFonts w:ascii="Arial" w:hAnsi="Arial" w:eastAsia="黑体"/>
      <w:kern w:val="2"/>
      <w:sz w:val="21"/>
      <w:szCs w:val="21"/>
    </w:rPr>
  </w:style>
  <w:style w:type="character" w:customStyle="1" w:styleId="214">
    <w:name w:val="页眉 字符"/>
    <w:link w:val="18"/>
    <w:qFormat/>
    <w:uiPriority w:val="99"/>
    <w:rPr>
      <w:kern w:val="2"/>
      <w:sz w:val="18"/>
      <w:szCs w:val="18"/>
    </w:rPr>
  </w:style>
  <w:style w:type="character" w:customStyle="1" w:styleId="215">
    <w:name w:val="页脚 字符"/>
    <w:link w:val="17"/>
    <w:qFormat/>
    <w:uiPriority w:val="99"/>
    <w:rPr>
      <w:rFonts w:ascii="宋体"/>
      <w:kern w:val="2"/>
      <w:sz w:val="18"/>
      <w:szCs w:val="18"/>
    </w:rPr>
  </w:style>
  <w:style w:type="character" w:customStyle="1" w:styleId="216">
    <w:name w:val="批注框文本 字符"/>
    <w:link w:val="16"/>
    <w:semiHidden/>
    <w:qFormat/>
    <w:uiPriority w:val="99"/>
    <w:rPr>
      <w:kern w:val="2"/>
      <w:sz w:val="18"/>
      <w:szCs w:val="18"/>
    </w:rPr>
  </w:style>
  <w:style w:type="character" w:customStyle="1" w:styleId="217">
    <w:name w:val="引用 字符"/>
    <w:link w:val="34"/>
    <w:qFormat/>
    <w:uiPriority w:val="29"/>
    <w:rPr>
      <w:i/>
      <w:iCs/>
      <w:color w:val="000000"/>
      <w:kern w:val="2"/>
      <w:sz w:val="21"/>
      <w:szCs w:val="21"/>
    </w:rPr>
  </w:style>
  <w:style w:type="character" w:customStyle="1" w:styleId="218">
    <w:name w:val="标题 字符"/>
    <w:link w:val="25"/>
    <w:qFormat/>
    <w:uiPriority w:val="0"/>
    <w:rPr>
      <w:rFonts w:ascii="Arial" w:hAnsi="Arial" w:cs="Arial"/>
      <w:b/>
      <w:bCs/>
      <w:kern w:val="2"/>
      <w:sz w:val="32"/>
      <w:szCs w:val="32"/>
    </w:rPr>
  </w:style>
  <w:style w:type="character" w:customStyle="1" w:styleId="219">
    <w:name w:val="标准文件_发布"/>
    <w:qFormat/>
    <w:uiPriority w:val="0"/>
    <w:rPr>
      <w:rFonts w:ascii="黑体" w:eastAsia="黑体"/>
      <w:spacing w:val="0"/>
      <w:w w:val="100"/>
      <w:position w:val="3"/>
      <w:sz w:val="28"/>
    </w:rPr>
  </w:style>
  <w:style w:type="character" w:customStyle="1" w:styleId="220">
    <w:name w:val="正文文本 字符"/>
    <w:link w:val="13"/>
    <w:qFormat/>
    <w:uiPriority w:val="0"/>
    <w:rPr>
      <w:kern w:val="2"/>
      <w:sz w:val="21"/>
      <w:szCs w:val="21"/>
    </w:rPr>
  </w:style>
  <w:style w:type="character" w:customStyle="1" w:styleId="221">
    <w:name w:val="不明显参考1"/>
    <w:qFormat/>
    <w:uiPriority w:val="31"/>
    <w:rPr>
      <w:smallCaps/>
      <w:color w:val="C0504D"/>
      <w:u w:val="single"/>
    </w:rPr>
  </w:style>
  <w:style w:type="character" w:customStyle="1" w:styleId="222">
    <w:name w:val="脚注文本 字符"/>
    <w:link w:val="21"/>
    <w:semiHidden/>
    <w:qFormat/>
    <w:uiPriority w:val="0"/>
    <w:rPr>
      <w:rFonts w:ascii="宋体"/>
      <w:kern w:val="2"/>
      <w:sz w:val="18"/>
      <w:szCs w:val="18"/>
    </w:rPr>
  </w:style>
  <w:style w:type="character" w:customStyle="1" w:styleId="223">
    <w:name w:val="标准文件_图表脚注内容"/>
    <w:qFormat/>
    <w:uiPriority w:val="0"/>
    <w:rPr>
      <w:rFonts w:ascii="宋体" w:hAnsi="宋体" w:eastAsia="宋体" w:cs="Times New Roman"/>
      <w:spacing w:val="0"/>
      <w:sz w:val="18"/>
      <w:vertAlign w:val="superscript"/>
    </w:rPr>
  </w:style>
  <w:style w:type="character" w:customStyle="1" w:styleId="224">
    <w:name w:val="个人答复风格"/>
    <w:qFormat/>
    <w:uiPriority w:val="0"/>
    <w:rPr>
      <w:rFonts w:ascii="Arial" w:hAnsi="Arial" w:eastAsia="宋体" w:cs="Arial"/>
      <w:color w:val="auto"/>
      <w:spacing w:val="0"/>
      <w:sz w:val="20"/>
    </w:rPr>
  </w:style>
  <w:style w:type="character" w:customStyle="1" w:styleId="225">
    <w:name w:val="个人撰写风格"/>
    <w:qFormat/>
    <w:uiPriority w:val="0"/>
    <w:rPr>
      <w:rFonts w:ascii="Arial" w:hAnsi="Arial" w:eastAsia="宋体" w:cs="Arial"/>
      <w:color w:val="auto"/>
      <w:spacing w:val="0"/>
      <w:sz w:val="20"/>
    </w:rPr>
  </w:style>
  <w:style w:type="character" w:customStyle="1" w:styleId="226">
    <w:name w:val="标准文件_段 Char"/>
    <w:link w:val="42"/>
    <w:qFormat/>
    <w:uiPriority w:val="0"/>
    <w:rPr>
      <w:rFonts w:ascii="宋体" w:hAnsi="Times New Roman"/>
      <w:sz w:val="21"/>
    </w:rPr>
  </w:style>
  <w:style w:type="character" w:customStyle="1" w:styleId="227">
    <w:name w:val="占位符文本1"/>
    <w:basedOn w:val="28"/>
    <w:semiHidden/>
    <w:qFormat/>
    <w:uiPriority w:val="99"/>
    <w:rPr>
      <w:color w:val="808080"/>
    </w:rPr>
  </w:style>
  <w:style w:type="character" w:customStyle="1" w:styleId="228">
    <w:name w:val="标准文件_来源"/>
    <w:basedOn w:val="28"/>
    <w:qFormat/>
    <w:uiPriority w:val="1"/>
    <w:rPr>
      <w:rFonts w:eastAsia="宋体"/>
      <w:sz w:val="21"/>
    </w:rPr>
  </w:style>
  <w:style w:type="character" w:customStyle="1" w:styleId="229">
    <w:name w:val="标准文件_示例X后 字符"/>
    <w:basedOn w:val="226"/>
    <w:link w:val="184"/>
    <w:qFormat/>
    <w:uiPriority w:val="0"/>
    <w:rPr>
      <w:rFonts w:ascii="宋体" w:hAnsi="Times New Roman"/>
      <w:sz w:val="18"/>
    </w:rPr>
  </w:style>
  <w:style w:type="character" w:customStyle="1" w:styleId="230">
    <w:name w:val="发布"/>
    <w:basedOn w:val="28"/>
    <w:qFormat/>
    <w:uiPriority w:val="0"/>
    <w:rPr>
      <w:rFonts w:ascii="黑体" w:eastAsia="黑体"/>
      <w:spacing w:val="85"/>
      <w:w w:val="100"/>
      <w:position w:val="3"/>
      <w:sz w:val="28"/>
      <w:szCs w:val="28"/>
    </w:rPr>
  </w:style>
  <w:style w:type="character" w:customStyle="1" w:styleId="231">
    <w:name w:val="15"/>
    <w:basedOn w:val="28"/>
    <w:qFormat/>
    <w:uiPriority w:val="0"/>
    <w:rPr>
      <w:rFonts w:hint="eastAsia" w:ascii="黑体" w:hAnsi="宋体" w:eastAsia="黑体"/>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5.jpeg"/><Relationship Id="rId37" Type="http://schemas.openxmlformats.org/officeDocument/2006/relationships/image" Target="media/image4.png"/><Relationship Id="rId36" Type="http://schemas.openxmlformats.org/officeDocument/2006/relationships/image" Target="media/image3.png"/><Relationship Id="rId35" Type="http://schemas.openxmlformats.org/officeDocument/2006/relationships/image" Target="media/image2.png"/><Relationship Id="rId34" Type="http://schemas.openxmlformats.org/officeDocument/2006/relationships/image" Target="media/image1.tiff"/><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2724</Words>
  <Characters>4602</Characters>
  <Lines>46</Lines>
  <Paragraphs>13</Paragraphs>
  <TotalTime>25</TotalTime>
  <ScaleCrop>false</ScaleCrop>
  <LinksUpToDate>false</LinksUpToDate>
  <CharactersWithSpaces>4753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2023-06-14T06:42:00Z</dcterms:created>
  <dc:creator>Administrator</dc:creator>
  <dc:description>&lt;config cover="true" show_menu="true" version="1.0.0" doctype="SDKXY"&gt;_x000d_
&lt;/config&gt;</dc:description>
  <cp:lastModifiedBy>wangling</cp:lastModifiedBy>
  <cp:lastPrinted>2023-09-13T07:36:00Z</cp:lastPrinted>
  <dcterms:modified xsi:type="dcterms:W3CDTF">2023-10-28T06:26:13Z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BAA41E3AA38B408CB0F3EBB96A5856C6_13</vt:lpwstr>
  </property>
</Properties>
</file>